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Issue at Aurelle Residences</w:t>
      </w:r>
    </w:p>
    <w:p>
      <w:pPr>
        <w:pStyle w:val="Heading1"/>
      </w:pPr>
      <w:r>
        <w:t>1 Scope</w:t>
      </w:r>
    </w:p>
    <w:p>
      <w:r>
        <w:rPr>
          <w:b w:val="0"/>
        </w:rPr>
        <w:t>This procedure applies only to long-stay apartments at Aurelle Residences properties.</w:t>
      </w:r>
    </w:p>
    <w:p>
      <w:pPr>
        <w:pStyle w:val="Heading1"/>
      </w:pPr>
      <w:r>
        <w:t>2 Household members</w:t>
      </w:r>
    </w:p>
    <w:p>
      <w:r>
        <w:rPr>
          <w:b w:val="0"/>
        </w:rPr>
        <w:t>At Aurelle Residences, Front Office Associates may issue a room key to a registered household member of a long-stay guest after checking the PMS guest profile.</w:t>
      </w:r>
    </w:p>
    <w:p>
      <w:r>
        <w:rPr>
          <w:b w:val="0"/>
        </w:rPr>
        <w:t>Front Office Associates must record every key issued to a household member in the PMS key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