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Entity</w:t>
      </w:r>
      <w:r>
        <w:t xml:space="preserve"> </w:t>
      </w:r>
      <w:r>
        <w:t xml:space="preserve">classes</w:t>
      </w:r>
      <w:r>
        <w:t xml:space="preserve"> </w:t>
      </w:r>
      <w:r>
        <w:t xml:space="preserve">and</w:t>
      </w:r>
      <w:r>
        <w:t xml:space="preserve"> </w:t>
      </w:r>
      <w:r>
        <w:t xml:space="preserve">relationships</w:t>
      </w:r>
      <w:r>
        <w:t xml:space="preserve"> </w:t>
      </w:r>
      <w:r>
        <w:t xml:space="preserve">for</w:t>
      </w:r>
      <w:r>
        <w:t xml:space="preserve"> </w:t>
      </w:r>
      <w:r>
        <w:t xml:space="preserve">recipes</w:t>
      </w:r>
    </w:p>
    <w:p>
      <w:pPr>
        <w:pStyle w:val="Author"/>
      </w:pPr>
      <w:r>
        <w:t xml:space="preserve">Dave</w:t>
      </w:r>
      <w:r>
        <w:t xml:space="preserve"> </w:t>
      </w:r>
      <w:r>
        <w:t xml:space="preserve">Dubin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2019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This is a first draft of entity classes and relationships in the</w:t>
      </w:r>
      <w:r>
        <w:t xml:space="preserve"> </w:t>
      </w:r>
      <w:r>
        <w:t xml:space="preserve">domain of recipes. I’ve based my choice of the twenty most important</w:t>
      </w:r>
      <w:r>
        <w:t xml:space="preserve"> </w:t>
      </w:r>
      <w:r>
        <w:t xml:space="preserve">terms on a use case of matching published recipes with tools in the</w:t>
      </w:r>
      <w:r>
        <w:t xml:space="preserve"> </w:t>
      </w:r>
      <w:r>
        <w:t xml:space="preserve">user’s kitchen and ingredients in the user’s pantry. An information</w:t>
      </w:r>
      <w:r>
        <w:t xml:space="preserve"> </w:t>
      </w:r>
      <w:r>
        <w:t xml:space="preserve">system based on these modeling choices would need to answer questions</w:t>
      </w:r>
      <w:r>
        <w:t xml:space="preserve"> </w:t>
      </w:r>
      <w:r>
        <w:t xml:space="preserve">about what meal could be prepared with ingredients at hand, or what</w:t>
      </w:r>
      <w:r>
        <w:t xml:space="preserve"> </w:t>
      </w:r>
      <w:r>
        <w:t xml:space="preserve">would need to be purchased in advance of preparing a particular</w:t>
      </w:r>
      <w:r>
        <w:t xml:space="preserve"> </w:t>
      </w:r>
      <w:r>
        <w:t xml:space="preserve">recipe. Most people don’t currently have the contents of their kitchen</w:t>
      </w:r>
      <w:r>
        <w:t xml:space="preserve"> </w:t>
      </w:r>
      <w:r>
        <w:t xml:space="preserve">cabinets listed in a database, but advances in smart appliances and</w:t>
      </w:r>
      <w:r>
        <w:t xml:space="preserve"> </w:t>
      </w:r>
      <w:r>
        <w:t xml:space="preserve">smart shopping carts make prospects for such information systems</w:t>
      </w:r>
      <w:r>
        <w:t xml:space="preserve"> </w:t>
      </w:r>
      <w:r>
        <w:t xml:space="preserve">plausible for the near future.</w:t>
      </w:r>
    </w:p>
    <w:p>
      <w:pPr>
        <w:pStyle w:val="BodyText"/>
      </w:pPr>
      <w:r>
        <w:t xml:space="preserve">Examples of how the use cases informed the model are the</w:t>
      </w:r>
      <w:r>
        <w:t xml:space="preserve"> </w:t>
      </w:r>
      <w:r>
        <w:t xml:space="preserve">“</w:t>
      </w:r>
      <w:r>
        <w:t xml:space="preserve">equal or</w:t>
      </w:r>
      <w:r>
        <w:t xml:space="preserve"> </w:t>
      </w:r>
      <w:r>
        <w:t xml:space="preserve">greater amount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equal or greater magnitude</w:t>
      </w:r>
      <w:r>
        <w:t xml:space="preserve">”</w:t>
      </w:r>
      <w:r>
        <w:t xml:space="preserve"> </w:t>
      </w:r>
      <w:r>
        <w:t xml:space="preserve">relationships that</w:t>
      </w:r>
      <w:r>
        <w:t xml:space="preserve"> </w:t>
      </w:r>
      <w:r>
        <w:t xml:space="preserve">don’t appear directly in published recipes or cookbooks, but which</w:t>
      </w:r>
      <w:r>
        <w:t xml:space="preserve"> </w:t>
      </w:r>
      <w:r>
        <w:t xml:space="preserve">would be instrumental in determining whether, for example, a bag of</w:t>
      </w:r>
      <w:r>
        <w:t xml:space="preserve"> </w:t>
      </w:r>
      <w:r>
        <w:t xml:space="preserve">flour would contain enough for three sheets of chocolate</w:t>
      </w:r>
      <w:r>
        <w:t xml:space="preserve"> </w:t>
      </w:r>
      <w:r>
        <w:t xml:space="preserve">cookies. Other examples are the</w:t>
      </w:r>
      <w:r>
        <w:t xml:space="preserve"> </w:t>
      </w:r>
      <w:r>
        <w:t xml:space="preserve">“</w:t>
      </w:r>
      <w:r>
        <w:t xml:space="preserve">uses tool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realizes property</w:t>
      </w:r>
      <w:r>
        <w:t xml:space="preserve">”</w:t>
      </w:r>
      <w:r>
        <w:t xml:space="preserve"> </w:t>
      </w:r>
      <w:r>
        <w:t xml:space="preserve">relationships that can help identify tools necessary for the recipe</w:t>
      </w:r>
      <w:r>
        <w:t xml:space="preserve"> </w:t>
      </w:r>
      <w:r>
        <w:t xml:space="preserve">whether explicity listed (the former) or not (the latter).</w:t>
      </w:r>
    </w:p>
    <w:p>
      <w:pPr>
        <w:pStyle w:val="BodyText"/>
      </w:pPr>
      <w:r>
        <w:t xml:space="preserve">In any information system all entities would have titles and and</w:t>
      </w:r>
      <w:r>
        <w:t xml:space="preserve"> </w:t>
      </w:r>
      <w:r>
        <w:t xml:space="preserve">descriptions expressed in text. Since that is understood (and since</w:t>
      </w:r>
      <w:r>
        <w:t xml:space="preserve"> </w:t>
      </w:r>
      <w:r>
        <w:t xml:space="preserve">this is a domain model, not a data model), standard metadata fields</w:t>
      </w:r>
      <w:r>
        <w:t xml:space="preserve"> </w:t>
      </w:r>
      <w:r>
        <w:t xml:space="preserve">like title and description are not listed among the attributes.</w:t>
      </w:r>
    </w:p>
    <w:p>
      <w:pPr>
        <w:pStyle w:val="Heading1"/>
      </w:pPr>
      <w:bookmarkStart w:id="22" w:name="entity-classes"/>
      <w:r>
        <w:t xml:space="preserve">Entity Classes</w:t>
      </w:r>
      <w:bookmarkEnd w:id="22"/>
    </w:p>
    <w:p>
      <w:pPr>
        <w:pStyle w:val="Heading3"/>
      </w:pPr>
      <w:bookmarkStart w:id="23" w:name="food-substance"/>
      <w:r>
        <w:t xml:space="preserve">Food Substance</w:t>
      </w:r>
      <w:bookmarkEnd w:id="23"/>
    </w:p>
    <w:p>
      <w:pPr>
        <w:pStyle w:val="FirstParagraph"/>
      </w:pPr>
      <w:r>
        <w:t xml:space="preserve">A type of food or edible material that forms an ingredient or</w:t>
      </w:r>
      <w:r>
        <w:t xml:space="preserve"> </w:t>
      </w:r>
      <w:r>
        <w:t xml:space="preserve">completed recipe. Examples include</w:t>
      </w:r>
      <w:r>
        <w:t xml:space="preserve"> </w:t>
      </w:r>
      <w:r>
        <w:t xml:space="preserve">“</w:t>
      </w:r>
      <w:r>
        <w:t xml:space="preserve">potato,</w:t>
      </w:r>
      <w:r>
        <w:t xml:space="preserve">”</w:t>
      </w:r>
      <w:r>
        <w:t xml:space="preserve"> </w:t>
      </w:r>
      <w:r>
        <w:t xml:space="preserve">“</w:t>
      </w:r>
      <w:r>
        <w:t xml:space="preserve">salt,</w:t>
      </w:r>
      <w:r>
        <w:t xml:space="preserve">”</w:t>
      </w:r>
      <w:r>
        <w:t xml:space="preserve"> </w:t>
      </w:r>
      <w:r>
        <w:t xml:space="preserve">“</w:t>
      </w:r>
      <w:r>
        <w:t xml:space="preserve">cornstarch,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chicken broth.</w:t>
      </w:r>
      <w:r>
        <w:t xml:space="preserve">”</w:t>
      </w:r>
      <w:r>
        <w:t xml:space="preserve"> </w:t>
      </w:r>
      <w:r>
        <w:t xml:space="preserve">Instances of this class are themselves classes.</w:t>
      </w:r>
    </w:p>
    <w:p>
      <w:pPr>
        <w:pStyle w:val="Heading3"/>
      </w:pPr>
      <w:bookmarkStart w:id="24" w:name="ingredient"/>
      <w:r>
        <w:t xml:space="preserve">Ingredient</w:t>
      </w:r>
      <w:bookmarkEnd w:id="24"/>
    </w:p>
    <w:p>
      <w:pPr>
        <w:pStyle w:val="FirstParagraph"/>
      </w:pPr>
      <w:r>
        <w:t xml:space="preserve">A class of physical objects, each a like quantity of the same food</w:t>
      </w:r>
      <w:r>
        <w:t xml:space="preserve"> </w:t>
      </w:r>
      <w:r>
        <w:t xml:space="preserve">substance. Examples include</w:t>
      </w:r>
      <w:r>
        <w:t xml:space="preserve"> </w:t>
      </w:r>
      <w:r>
        <w:t xml:space="preserve">“</w:t>
      </w:r>
      <w:r>
        <w:t xml:space="preserve">one bay leaf,</w:t>
      </w:r>
      <w:r>
        <w:t xml:space="preserve">”</w:t>
      </w:r>
      <w:r>
        <w:t xml:space="preserve"> </w:t>
      </w:r>
      <w:r>
        <w:t xml:space="preserve">“</w:t>
      </w:r>
      <w:r>
        <w:t xml:space="preserve">two teaspoons of</w:t>
      </w:r>
      <w:r>
        <w:t xml:space="preserve"> </w:t>
      </w:r>
      <w:r>
        <w:t xml:space="preserve">cornstarch,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”</w:t>
      </w:r>
      <w:r>
        <w:t xml:space="preserve">three grams of salt." Instances of the class</w:t>
      </w:r>
      <w:r>
        <w:t xml:space="preserve"> </w:t>
      </w:r>
      <w:r>
        <w:t xml:space="preserve">“</w:t>
      </w:r>
      <w:r>
        <w:t xml:space="preserve">Ingredient</w:t>
      </w:r>
      <w:r>
        <w:t xml:space="preserve">”</w:t>
      </w:r>
      <w:r>
        <w:t xml:space="preserve"> </w:t>
      </w:r>
      <w:r>
        <w:t xml:space="preserve">are themselves classes, since</w:t>
      </w:r>
      <w:r>
        <w:t xml:space="preserve"> </w:t>
      </w:r>
      <w:r>
        <w:t xml:space="preserve">“</w:t>
      </w:r>
      <w:r>
        <w:t xml:space="preserve">one bay lead</w:t>
      </w:r>
      <w:r>
        <w:t xml:space="preserve">”</w:t>
      </w:r>
      <w:r>
        <w:t xml:space="preserve"> </w:t>
      </w:r>
      <w:r>
        <w:t xml:space="preserve">is not a</w:t>
      </w:r>
      <w:r>
        <w:t xml:space="preserve"> </w:t>
      </w:r>
      <w:r>
        <w:t xml:space="preserve">particular bay leaf, but whatever bay leaf is used during the</w:t>
      </w:r>
      <w:r>
        <w:t xml:space="preserve"> </w:t>
      </w:r>
      <w:r>
        <w:t xml:space="preserve">execution of a recipe.</w:t>
      </w:r>
    </w:p>
    <w:p>
      <w:pPr>
        <w:pStyle w:val="Heading4"/>
      </w:pPr>
      <w:bookmarkStart w:id="25" w:name="ingredient-attributes"/>
      <w:r>
        <w:t xml:space="preserve">Ingredient attributes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Optional (truth value). This property obtains if the ingredient is</w:t>
      </w:r>
      <w:r>
        <w:t xml:space="preserve"> </w:t>
      </w:r>
      <w:r>
        <w:t xml:space="preserve">optional.</w:t>
      </w:r>
    </w:p>
    <w:p>
      <w:pPr>
        <w:pStyle w:val="Heading3"/>
      </w:pPr>
      <w:bookmarkStart w:id="26" w:name="qualifying-property"/>
      <w:r>
        <w:t xml:space="preserve">Qualifying property</w:t>
      </w:r>
      <w:bookmarkEnd w:id="26"/>
    </w:p>
    <w:p>
      <w:pPr>
        <w:pStyle w:val="FirstParagraph"/>
      </w:pPr>
      <w:r>
        <w:t xml:space="preserve">A property required for a quantity of a food substance in order to</w:t>
      </w:r>
      <w:r>
        <w:t xml:space="preserve"> </w:t>
      </w:r>
      <w:r>
        <w:t xml:space="preserve">qualify for an ingredient Examples include</w:t>
      </w:r>
      <w:r>
        <w:t xml:space="preserve"> </w:t>
      </w:r>
      <w:r>
        <w:t xml:space="preserve">“</w:t>
      </w:r>
      <w:r>
        <w:t xml:space="preserve">chopped,</w:t>
      </w:r>
      <w:r>
        <w:t xml:space="preserve">”</w:t>
      </w:r>
      <w:r>
        <w:t xml:space="preserve"> </w:t>
      </w:r>
      <w:r>
        <w:t xml:space="preserve">“</w:t>
      </w:r>
      <w:r>
        <w:t xml:space="preserve">sifted fine,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sautéd to clear.</w:t>
      </w:r>
      <w:r>
        <w:t xml:space="preserve">”</w:t>
      </w:r>
      <w:r>
        <w:t xml:space="preserve"> </w:t>
      </w:r>
      <w:r>
        <w:t xml:space="preserve">Since any ingredient may have more than one of</w:t>
      </w:r>
      <w:r>
        <w:t xml:space="preserve"> </w:t>
      </w:r>
      <w:r>
        <w:t xml:space="preserve">these, this can’t be a simple attribute of an ingredient.</w:t>
      </w:r>
    </w:p>
    <w:p>
      <w:pPr>
        <w:pStyle w:val="Heading4"/>
      </w:pPr>
      <w:bookmarkStart w:id="27" w:name="attributes-of-a-qualifying-property"/>
      <w:r>
        <w:t xml:space="preserve">Attributes of a qualifying property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Prerequisite (truth value). A prerequisite property is expected to</w:t>
      </w:r>
      <w:r>
        <w:t xml:space="preserve"> </w:t>
      </w:r>
      <w:r>
        <w:t xml:space="preserve">obtain prior to the first step of the recipe through action by the</w:t>
      </w:r>
      <w:r>
        <w:t xml:space="preserve"> </w:t>
      </w:r>
      <w:r>
        <w:t xml:space="preserve">cook (chopping, defrosting, etc.)</w:t>
      </w:r>
    </w:p>
    <w:p>
      <w:pPr>
        <w:pStyle w:val="Compact"/>
        <w:numPr>
          <w:numId w:val="1002"/>
          <w:ilvl w:val="0"/>
        </w:numPr>
      </w:pPr>
      <w:r>
        <w:t xml:space="preserve">Requirement (truth value). A requirement property distinguishes</w:t>
      </w:r>
      <w:r>
        <w:t xml:space="preserve"> </w:t>
      </w:r>
      <w:r>
        <w:t xml:space="preserve">suitable from unsuitable food substances (fresh lemon juice as</w:t>
      </w:r>
      <w:r>
        <w:t xml:space="preserve"> </w:t>
      </w:r>
      <w:r>
        <w:t xml:space="preserve">compared to bottled, kosher salt as compared to ordinary).</w:t>
      </w:r>
    </w:p>
    <w:p>
      <w:pPr>
        <w:pStyle w:val="Heading3"/>
      </w:pPr>
      <w:bookmarkStart w:id="28" w:name="quantity"/>
      <w:r>
        <w:t xml:space="preserve">Quantity</w:t>
      </w:r>
      <w:bookmarkEnd w:id="28"/>
    </w:p>
    <w:p>
      <w:pPr>
        <w:pStyle w:val="FirstParagraph"/>
      </w:pPr>
      <w:r>
        <w:t xml:space="preserve">A number with an optional unit of measurement, for example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2</w:t>
      </w:r>
      <w:r>
        <w:t xml:space="preserve"> </w:t>
      </w:r>
      <w:r>
        <w:t xml:space="preserve">teaspoons.</w:t>
      </w:r>
      <w:r>
        <w:t xml:space="preserve">”</w:t>
      </w:r>
      <w:r>
        <w:t xml:space="preserve"> </w:t>
      </w:r>
      <w:r>
        <w:t xml:space="preserve">Quantities are descriptions of magnitudes. Units of</w:t>
      </w:r>
      <w:r>
        <w:t xml:space="preserve"> </w:t>
      </w:r>
      <w:r>
        <w:t xml:space="preserve">measurement are essential to the identity of what we’ll call a</w:t>
      </w:r>
      <w:r>
        <w:t xml:space="preserve"> </w:t>
      </w:r>
      <w:r>
        <w:t xml:space="preserve">quantity, so that</w:t>
      </w:r>
      <w:r>
        <w:t xml:space="preserve"> </w:t>
      </w:r>
      <w:r>
        <w:t xml:space="preserve">“</w:t>
      </w:r>
      <w:r>
        <w:t xml:space="preserve">1 teaspoon</w:t>
      </w:r>
      <w:r>
        <w:t xml:space="preserve">”</w:t>
      </w:r>
      <w:r>
        <w:t xml:space="preserve"> </w:t>
      </w:r>
      <w:r>
        <w:t xml:space="preserve">is a different quantity than</w:t>
      </w:r>
      <w:r>
        <w:t xml:space="preserve"> </w:t>
      </w:r>
      <w:r>
        <w:t xml:space="preserve">“</w:t>
      </w:r>
      <w:r>
        <w:t xml:space="preserve">4.92892</w:t>
      </w:r>
      <w:r>
        <w:t xml:space="preserve"> </w:t>
      </w:r>
      <w:r>
        <w:t xml:space="preserve">cc</w:t>
      </w:r>
      <w:r>
        <w:t xml:space="preserve">”</w:t>
      </w:r>
      <w:r>
        <w:t xml:space="preserve"> </w:t>
      </w:r>
      <w:r>
        <w:t xml:space="preserve">even though they are the same magnitude.</w:t>
      </w:r>
    </w:p>
    <w:p>
      <w:pPr>
        <w:pStyle w:val="Heading4"/>
      </w:pPr>
      <w:bookmarkStart w:id="29" w:name="quantity-attributes"/>
      <w:r>
        <w:t xml:space="preserve">Quantity attributes</w:t>
      </w:r>
      <w:bookmarkEnd w:id="29"/>
    </w:p>
    <w:p>
      <w:pPr>
        <w:pStyle w:val="Compact"/>
        <w:numPr>
          <w:numId w:val="1003"/>
          <w:ilvl w:val="0"/>
        </w:numPr>
      </w:pPr>
      <w:r>
        <w:t xml:space="preserve">Type: discrete vs. continuous</w:t>
      </w:r>
    </w:p>
    <w:p>
      <w:pPr>
        <w:pStyle w:val="Heading3"/>
      </w:pPr>
      <w:bookmarkStart w:id="30" w:name="recipe"/>
      <w:r>
        <w:t xml:space="preserve">Recipe</w:t>
      </w:r>
      <w:bookmarkEnd w:id="30"/>
    </w:p>
    <w:p>
      <w:pPr>
        <w:pStyle w:val="FirstParagraph"/>
      </w:pPr>
      <w:r>
        <w:t xml:space="preserve">A step-wise procedure for producing a quantity of food from a group of</w:t>
      </w:r>
      <w:r>
        <w:t xml:space="preserve"> </w:t>
      </w:r>
      <w:r>
        <w:t xml:space="preserve">ingredients.</w:t>
      </w:r>
    </w:p>
    <w:p>
      <w:pPr>
        <w:pStyle w:val="Heading4"/>
      </w:pPr>
      <w:bookmarkStart w:id="31" w:name="recipe-attributes"/>
      <w:r>
        <w:t xml:space="preserve">Recipe attributes</w:t>
      </w:r>
      <w:bookmarkEnd w:id="31"/>
    </w:p>
    <w:p>
      <w:pPr>
        <w:pStyle w:val="Compact"/>
        <w:numPr>
          <w:numId w:val="1004"/>
          <w:ilvl w:val="0"/>
        </w:numPr>
      </w:pPr>
      <w:r>
        <w:t xml:space="preserve">Yield (Quantity).</w:t>
      </w:r>
    </w:p>
    <w:p>
      <w:pPr>
        <w:pStyle w:val="Compact"/>
        <w:numPr>
          <w:numId w:val="1004"/>
          <w:ilvl w:val="0"/>
        </w:numPr>
      </w:pPr>
      <w:r>
        <w:t xml:space="preserve">Number of servings (number)</w:t>
      </w:r>
    </w:p>
    <w:p>
      <w:pPr>
        <w:pStyle w:val="Compact"/>
        <w:numPr>
          <w:numId w:val="1004"/>
          <w:ilvl w:val="0"/>
        </w:numPr>
      </w:pPr>
      <w:r>
        <w:t xml:space="preserve">Serving size (quantity)</w:t>
      </w:r>
    </w:p>
    <w:p>
      <w:pPr>
        <w:pStyle w:val="Compact"/>
        <w:numPr>
          <w:numId w:val="1004"/>
          <w:ilvl w:val="0"/>
        </w:numPr>
      </w:pPr>
      <w:r>
        <w:t xml:space="preserve">Total time (temporal extent)</w:t>
      </w:r>
    </w:p>
    <w:p>
      <w:pPr>
        <w:pStyle w:val="Compact"/>
        <w:numPr>
          <w:numId w:val="1004"/>
          <w:ilvl w:val="0"/>
        </w:numPr>
      </w:pPr>
      <w:r>
        <w:t xml:space="preserve">Language</w:t>
      </w:r>
    </w:p>
    <w:p>
      <w:pPr>
        <w:pStyle w:val="Heading3"/>
      </w:pPr>
      <w:bookmarkStart w:id="32" w:name="source"/>
      <w:r>
        <w:t xml:space="preserve">Source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A bibliographic description of an information resource.</w:t>
      </w:r>
    </w:p>
    <w:p>
      <w:pPr>
        <w:pStyle w:val="Heading4"/>
      </w:pPr>
      <w:bookmarkStart w:id="33" w:name="attributes-of-a-source"/>
      <w:r>
        <w:t xml:space="preserve">Attributes of a source</w:t>
      </w:r>
      <w:bookmarkEnd w:id="33"/>
    </w:p>
    <w:p>
      <w:pPr>
        <w:pStyle w:val="Compact"/>
        <w:numPr>
          <w:numId w:val="1006"/>
          <w:ilvl w:val="0"/>
        </w:numPr>
      </w:pPr>
      <w:r>
        <w:t xml:space="preserve">Content (text). The bibliographic description expressed as text.</w:t>
      </w:r>
    </w:p>
    <w:p>
      <w:pPr>
        <w:pStyle w:val="Compact"/>
        <w:numPr>
          <w:numId w:val="1006"/>
          <w:ilvl w:val="0"/>
        </w:numPr>
      </w:pPr>
      <w:r>
        <w:t xml:space="preserve">Notation (text). The notation in which the description is expressed.</w:t>
      </w:r>
    </w:p>
    <w:p>
      <w:pPr>
        <w:pStyle w:val="Heading3"/>
      </w:pPr>
      <w:bookmarkStart w:id="34" w:name="step"/>
      <w:r>
        <w:t xml:space="preserve">Step</w:t>
      </w:r>
      <w:bookmarkEnd w:id="34"/>
    </w:p>
    <w:p>
      <w:pPr>
        <w:pStyle w:val="FirstParagraph"/>
      </w:pPr>
      <w:r>
        <w:t xml:space="preserve">A discrete ordered part of a repeatable process. An example of a step</w:t>
      </w:r>
      <w:r>
        <w:t xml:space="preserve"> </w:t>
      </w:r>
      <w:r>
        <w:t xml:space="preserve">would be,</w:t>
      </w:r>
      <w:r>
        <w:t xml:space="preserve"> </w:t>
      </w:r>
      <w:r>
        <w:t xml:space="preserve">“</w:t>
      </w:r>
      <w:r>
        <w:t xml:space="preserve">place chicken and next 11 ingredients in a 6-qt. slow</w:t>
      </w:r>
      <w:r>
        <w:t xml:space="preserve"> </w:t>
      </w:r>
      <w:r>
        <w:t xml:space="preserve">cooker. Cover and cook on LOW 6 hours or until chicken and vegetables</w:t>
      </w:r>
      <w:r>
        <w:t xml:space="preserve"> </w:t>
      </w:r>
      <w:r>
        <w:t xml:space="preserve">are tender and chicken separates from bone.</w:t>
      </w:r>
      <w:r>
        <w:t xml:space="preserve">”</w:t>
      </w:r>
    </w:p>
    <w:p>
      <w:pPr>
        <w:pStyle w:val="Heading4"/>
      </w:pPr>
      <w:bookmarkStart w:id="35" w:name="attributes-of-a-step"/>
      <w:r>
        <w:t xml:space="preserve">Attributes of a step</w:t>
      </w:r>
      <w:bookmarkEnd w:id="35"/>
    </w:p>
    <w:p>
      <w:pPr>
        <w:pStyle w:val="Compact"/>
        <w:numPr>
          <w:numId w:val="1007"/>
          <w:ilvl w:val="0"/>
        </w:numPr>
      </w:pPr>
      <w:r>
        <w:t xml:space="preserve">First in sequence (truth value). This property obtains if the step</w:t>
      </w:r>
      <w:r>
        <w:t xml:space="preserve"> </w:t>
      </w:r>
      <w:r>
        <w:t xml:space="preserve">is the first in a sequence of steps.</w:t>
      </w:r>
    </w:p>
    <w:p>
      <w:pPr>
        <w:pStyle w:val="Compact"/>
        <w:numPr>
          <w:numId w:val="1007"/>
          <w:ilvl w:val="0"/>
        </w:numPr>
      </w:pPr>
      <w:r>
        <w:t xml:space="preserve">Optional (truth value). This property obtains if the step is</w:t>
      </w:r>
      <w:r>
        <w:t xml:space="preserve"> </w:t>
      </w:r>
      <w:r>
        <w:t xml:space="preserve">optional.</w:t>
      </w:r>
    </w:p>
    <w:p>
      <w:pPr>
        <w:pStyle w:val="Heading3"/>
      </w:pPr>
      <w:bookmarkStart w:id="36" w:name="tool"/>
      <w:r>
        <w:t xml:space="preserve">Tool</w:t>
      </w:r>
      <w:bookmarkEnd w:id="36"/>
    </w:p>
    <w:p>
      <w:pPr>
        <w:pStyle w:val="FirstParagraph"/>
      </w:pPr>
      <w:r>
        <w:t xml:space="preserve">A physical object that participates in a step or causes a qualifying</w:t>
      </w:r>
      <w:r>
        <w:t xml:space="preserve"> </w:t>
      </w:r>
      <w:r>
        <w:t xml:space="preserve">property to obtain. Examples include</w:t>
      </w:r>
      <w:r>
        <w:t xml:space="preserve"> </w:t>
      </w:r>
      <w:r>
        <w:t xml:space="preserve">“</w:t>
      </w:r>
      <w:r>
        <w:t xml:space="preserve">saucepan,</w:t>
      </w:r>
      <w:r>
        <w:t xml:space="preserve">”</w:t>
      </w:r>
      <w:r>
        <w:t xml:space="preserve"> </w:t>
      </w:r>
      <w:r>
        <w:t xml:space="preserve">“</w:t>
      </w:r>
      <w:r>
        <w:t xml:space="preserve">paring knife,</w:t>
      </w:r>
      <w:r>
        <w:t xml:space="preserve">”</w:t>
      </w:r>
      <w:r>
        <w:t xml:space="preserve"> </w:t>
      </w:r>
      <w:r>
        <w:t xml:space="preserve">“</w:t>
      </w:r>
      <w:r>
        <w:t xml:space="preserve">grater.</w:t>
      </w:r>
      <w:r>
        <w:t xml:space="preserve">”</w:t>
      </w:r>
    </w:p>
    <w:p>
      <w:pPr>
        <w:pStyle w:val="Heading1"/>
      </w:pPr>
      <w:bookmarkStart w:id="37" w:name="relationships"/>
      <w:r>
        <w:t xml:space="preserve">Relationships</w:t>
      </w:r>
      <w:bookmarkEnd w:id="37"/>
    </w:p>
    <w:p>
      <w:pPr>
        <w:pStyle w:val="Heading3"/>
      </w:pPr>
      <w:bookmarkStart w:id="38" w:name="directly-follows"/>
      <w:r>
        <w:t xml:space="preserve">Directly follows</w:t>
      </w:r>
      <w:bookmarkEnd w:id="38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Scope note:</w:t>
      </w:r>
      <w:r>
        <w:t xml:space="preserve"> </w:t>
      </w:r>
      <w:r>
        <w:t xml:space="preserve">a temporal relationship between a step and the step</w:t>
      </w:r>
      <w:r>
        <w:t xml:space="preserve"> </w:t>
      </w:r>
      <w:r>
        <w:t xml:space="preserve">that immediately follows it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Domain:</w:t>
      </w:r>
      <w:r>
        <w:t xml:space="preserve"> </w:t>
      </w:r>
      <w:r>
        <w:t xml:space="preserve">Step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Codomain:</w:t>
      </w:r>
      <w:r>
        <w:t xml:space="preserve"> </w:t>
      </w:r>
      <w:r>
        <w:t xml:space="preserve">Step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Arity:</w:t>
      </w:r>
      <w:r>
        <w:t xml:space="preserve"> </w:t>
      </w:r>
      <w:r>
        <w:t xml:space="preserve">2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Cardinality:</w:t>
      </w:r>
      <w:r>
        <w:t xml:space="preserve"> </w:t>
      </w:r>
      <w:r>
        <w:t xml:space="preserve">1-to-1</w:t>
      </w:r>
    </w:p>
    <w:p>
      <w:pPr>
        <w:pStyle w:val="Heading3"/>
      </w:pPr>
      <w:bookmarkStart w:id="39" w:name="equal-magnitude"/>
      <w:r>
        <w:t xml:space="preserve">Equal magnitude</w:t>
      </w:r>
      <w:bookmarkEnd w:id="39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Scope note:</w:t>
      </w:r>
      <w:r>
        <w:t xml:space="preserve"> </w:t>
      </w:r>
      <w:r>
        <w:t xml:space="preserve">equivalence relationship obtaining between</w:t>
      </w:r>
      <w:r>
        <w:t xml:space="preserve"> </w:t>
      </w:r>
      <w:r>
        <w:t xml:space="preserve">quantities of equal magnitude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Domain:</w:t>
      </w:r>
      <w:r>
        <w:t xml:space="preserve"> </w:t>
      </w:r>
      <w:r>
        <w:t xml:space="preserve">Quantity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Codomain:</w:t>
      </w:r>
      <w:r>
        <w:t xml:space="preserve"> </w:t>
      </w:r>
      <w:r>
        <w:t xml:space="preserve">Quantity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Arity:</w:t>
      </w:r>
      <w:r>
        <w:t xml:space="preserve"> </w:t>
      </w:r>
      <w:r>
        <w:t xml:space="preserve">2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Cardinality:</w:t>
      </w:r>
      <w:r>
        <w:t xml:space="preserve"> </w:t>
      </w:r>
      <w:r>
        <w:t xml:space="preserve">many-to-many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Remarks:</w:t>
      </w:r>
      <w:r>
        <w:t xml:space="preserve"> </w:t>
      </w:r>
      <w:r>
        <w:t xml:space="preserve">For example, 1 US teaspoon equals 4.92892 ml.</w:t>
      </w:r>
    </w:p>
    <w:p>
      <w:pPr>
        <w:pStyle w:val="Heading3"/>
      </w:pPr>
      <w:bookmarkStart w:id="40" w:name="equal-or-greater-amount"/>
      <w:r>
        <w:t xml:space="preserve">Equal or greater amount</w:t>
      </w:r>
      <w:bookmarkEnd w:id="40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Scope note:</w:t>
      </w:r>
      <w:r>
        <w:t xml:space="preserve"> </w:t>
      </w:r>
      <w:r>
        <w:t xml:space="preserve">an asymmetric relationship between ingredients</w:t>
      </w:r>
      <w:r>
        <w:t xml:space="preserve"> </w:t>
      </w:r>
      <w:r>
        <w:t xml:space="preserve">constituted of the same substance, without the requirement for</w:t>
      </w:r>
      <w:r>
        <w:t xml:space="preserve"> </w:t>
      </w:r>
      <w:r>
        <w:t xml:space="preserve">commensurable quantities or magnitudes.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Domain:</w:t>
      </w:r>
      <w:r>
        <w:t xml:space="preserve"> </w:t>
      </w:r>
      <w:r>
        <w:t xml:space="preserve">Ingredient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Codomain:</w:t>
      </w:r>
      <w:r>
        <w:t xml:space="preserve"> </w:t>
      </w:r>
      <w:r>
        <w:t xml:space="preserve">Ingredient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Arity:</w:t>
      </w:r>
      <w:r>
        <w:t xml:space="preserve"> </w:t>
      </w:r>
      <w:r>
        <w:t xml:space="preserve">2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Cardinality:</w:t>
      </w:r>
      <w:r>
        <w:t xml:space="preserve"> </w:t>
      </w:r>
      <w:r>
        <w:t xml:space="preserve">many-to-many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Remarks:</w:t>
      </w:r>
      <w:r>
        <w:t xml:space="preserve"> </w:t>
      </w:r>
      <w:r>
        <w:t xml:space="preserve">Domain and codomain are ingredient, not quantity. For</w:t>
      </w:r>
      <w:r>
        <w:t xml:space="preserve"> </w:t>
      </w:r>
      <w:r>
        <w:t xml:space="preserve">example,</w:t>
      </w:r>
      <w:r>
        <w:t xml:space="preserve"> </w:t>
      </w:r>
      <w:r>
        <w:t xml:space="preserve">“</w:t>
      </w:r>
      <w:r>
        <w:t xml:space="preserve">2 pounds of salt is an equal or greater amount than 2</w:t>
      </w:r>
      <w:r>
        <w:t xml:space="preserve"> </w:t>
      </w:r>
      <w:r>
        <w:t xml:space="preserve">teaspoons of salt,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Five cups is an equal or greater</w:t>
      </w:r>
      <w:r>
        <w:t xml:space="preserve"> </w:t>
      </w:r>
      <w:r>
        <w:t xml:space="preserve">amount than 2 teaspoons.</w:t>
      </w:r>
      <w:r>
        <w:t xml:space="preserve">”</w:t>
      </w:r>
    </w:p>
    <w:p>
      <w:pPr>
        <w:pStyle w:val="Heading3"/>
      </w:pPr>
      <w:bookmarkStart w:id="41" w:name="equal-or-greater-magnitude"/>
      <w:r>
        <w:t xml:space="preserve">Equal or greater magnitude</w:t>
      </w:r>
      <w:bookmarkEnd w:id="41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Scope note:</w:t>
      </w:r>
      <w:r>
        <w:t xml:space="preserve"> </w:t>
      </w:r>
      <w:r>
        <w:t xml:space="preserve">relationship obtaining between commensurable</w:t>
      </w:r>
      <w:r>
        <w:t xml:space="preserve"> </w:t>
      </w:r>
      <w:r>
        <w:t xml:space="preserve">quantities where one has a greater or equal magnitude.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Domain:</w:t>
      </w:r>
      <w:r>
        <w:t xml:space="preserve"> </w:t>
      </w:r>
      <w:r>
        <w:t xml:space="preserve">Quantity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Codomain:</w:t>
      </w:r>
      <w:r>
        <w:t xml:space="preserve"> </w:t>
      </w:r>
      <w:r>
        <w:t xml:space="preserve">Quantity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Arity:</w:t>
      </w:r>
      <w:r>
        <w:t xml:space="preserve"> </w:t>
      </w:r>
      <w:r>
        <w:t xml:space="preserve">2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Cardinality:</w:t>
      </w:r>
      <w:r>
        <w:t xml:space="preserve"> </w:t>
      </w:r>
      <w:r>
        <w:t xml:space="preserve">many-to-many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Remarks:</w:t>
      </w:r>
      <w:r>
        <w:t xml:space="preserve"> </w:t>
      </w:r>
      <w:r>
        <w:t xml:space="preserve">Domain and codomain are quantity, not amounts of a</w:t>
      </w:r>
      <w:r>
        <w:t xml:space="preserve"> </w:t>
      </w:r>
      <w:r>
        <w:t xml:space="preserve">particular substance, so participants must be commensurable even</w:t>
      </w:r>
      <w:r>
        <w:t xml:space="preserve"> </w:t>
      </w:r>
      <w:r>
        <w:t xml:space="preserve">if the measurement units are different. For example,</w:t>
      </w:r>
      <w:r>
        <w:t xml:space="preserve"> </w:t>
      </w:r>
      <w:r>
        <w:t xml:space="preserve">“</w:t>
      </w:r>
      <w:r>
        <w:t xml:space="preserve">five cups is</w:t>
      </w:r>
      <w:r>
        <w:t xml:space="preserve"> </w:t>
      </w:r>
      <w:r>
        <w:t xml:space="preserve">greater than or equal to one teaspoon.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2 pounds of salt</w:t>
      </w:r>
      <w:r>
        <w:t xml:space="preserve"> </w:t>
      </w:r>
      <w:r>
        <w:t xml:space="preserve">is greater than or equal to 2 teaspoons of salt.</w:t>
      </w:r>
      <w:r>
        <w:t xml:space="preserve">”</w:t>
      </w:r>
    </w:p>
    <w:p>
      <w:pPr>
        <w:pStyle w:val="Heading3"/>
      </w:pPr>
      <w:bookmarkStart w:id="42" w:name="has-constituent"/>
      <w:r>
        <w:t xml:space="preserve">Has constituent</w:t>
      </w:r>
      <w:bookmarkEnd w:id="42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Scope note:</w:t>
      </w:r>
      <w:r>
        <w:t xml:space="preserve"> </w:t>
      </w:r>
      <w:r>
        <w:t xml:space="preserve">the food substance constituting the ingredient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Domain:</w:t>
      </w:r>
      <w:r>
        <w:t xml:space="preserve"> </w:t>
      </w:r>
      <w:r>
        <w:t xml:space="preserve">Ingredient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Codomain:</w:t>
      </w:r>
      <w:r>
        <w:t xml:space="preserve"> </w:t>
      </w:r>
      <w:r>
        <w:t xml:space="preserve">Food substance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Arity:</w:t>
      </w:r>
      <w:r>
        <w:t xml:space="preserve"> </w:t>
      </w:r>
      <w:r>
        <w:t xml:space="preserve">2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Cardinality:</w:t>
      </w:r>
      <w:r>
        <w:t xml:space="preserve"> </w:t>
      </w:r>
      <w:r>
        <w:t xml:space="preserve">many-to-1</w:t>
      </w:r>
    </w:p>
    <w:p>
      <w:pPr>
        <w:pStyle w:val="Heading3"/>
      </w:pPr>
      <w:bookmarkStart w:id="43" w:name="has-quantity"/>
      <w:r>
        <w:t xml:space="preserve">Has quantity</w:t>
      </w:r>
      <w:bookmarkEnd w:id="43"/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Scope note:</w:t>
      </w:r>
      <w:r>
        <w:t xml:space="preserve"> </w:t>
      </w:r>
      <w:r>
        <w:t xml:space="preserve">The amount of a substance constituting an</w:t>
      </w:r>
      <w:r>
        <w:t xml:space="preserve"> </w:t>
      </w:r>
      <w:r>
        <w:t xml:space="preserve">ingredient.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Domain:</w:t>
      </w:r>
      <w:r>
        <w:t xml:space="preserve"> </w:t>
      </w:r>
      <w:r>
        <w:t xml:space="preserve">Ingredient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Codomain:</w:t>
      </w:r>
      <w:r>
        <w:t xml:space="preserve"> </w:t>
      </w:r>
      <w:r>
        <w:t xml:space="preserve">Quantity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Arity:</w:t>
      </w:r>
      <w:r>
        <w:t xml:space="preserve"> </w:t>
      </w:r>
      <w:r>
        <w:t xml:space="preserve">2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Cardinality:</w:t>
      </w:r>
      <w:r>
        <w:t xml:space="preserve"> </w:t>
      </w:r>
      <w:r>
        <w:t xml:space="preserve">many-to-1</w:t>
      </w:r>
    </w:p>
    <w:p>
      <w:pPr>
        <w:pStyle w:val="Heading3"/>
      </w:pPr>
      <w:bookmarkStart w:id="44" w:name="has-source"/>
      <w:r>
        <w:t xml:space="preserve">Has source</w:t>
      </w:r>
      <w:bookmarkEnd w:id="44"/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Scope note:</w:t>
      </w:r>
      <w:r>
        <w:t xml:space="preserve"> </w:t>
      </w:r>
      <w:r>
        <w:t xml:space="preserve">An attribution of the source of some recipe or other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Domain:</w:t>
      </w:r>
      <w:r>
        <w:t xml:space="preserve"> </w:t>
      </w:r>
      <w:r>
        <w:t xml:space="preserve">Recipe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Codomain:</w:t>
      </w:r>
      <w:r>
        <w:t xml:space="preserve"> </w:t>
      </w:r>
      <w:r>
        <w:t xml:space="preserve">Source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Arity:</w:t>
      </w:r>
      <w:r>
        <w:t xml:space="preserve"> </w:t>
      </w:r>
      <w:r>
        <w:t xml:space="preserve">2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Cardinality:</w:t>
      </w:r>
      <w:r>
        <w:t xml:space="preserve"> </w:t>
      </w:r>
      <w:r>
        <w:t xml:space="preserve">many-to-many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Remarks:</w:t>
      </w:r>
      <w:r>
        <w:t xml:space="preserve"> </w:t>
      </w:r>
      <w:r>
        <w:t xml:space="preserve">More properly, the domain should be a superclass like</w:t>
      </w:r>
      <w:r>
        <w:t xml:space="preserve"> </w:t>
      </w:r>
      <w:r>
        <w:t xml:space="preserve">“</w:t>
      </w:r>
      <w:r>
        <w:t xml:space="preserve">information resource,</w:t>
      </w:r>
      <w:r>
        <w:t xml:space="preserve">”</w:t>
      </w:r>
      <w:r>
        <w:t xml:space="preserve"> </w:t>
      </w:r>
      <w:r>
        <w:t xml:space="preserve">but we’re not including upper level</w:t>
      </w:r>
      <w:r>
        <w:t xml:space="preserve"> </w:t>
      </w:r>
      <w:r>
        <w:t xml:space="preserve">classes in this list.</w:t>
      </w:r>
    </w:p>
    <w:p>
      <w:pPr>
        <w:pStyle w:val="Heading3"/>
      </w:pPr>
      <w:bookmarkStart w:id="45" w:name="has-substep"/>
      <w:r>
        <w:t xml:space="preserve">Has substep</w:t>
      </w:r>
      <w:bookmarkEnd w:id="45"/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Scope note:</w:t>
      </w:r>
      <w:r>
        <w:t xml:space="preserve"> </w:t>
      </w:r>
      <w:r>
        <w:t xml:space="preserve">An ordered, functional feature of an activity. A</w:t>
      </w:r>
      <w:r>
        <w:t xml:space="preserve"> </w:t>
      </w:r>
      <w:r>
        <w:t xml:space="preserve">piece of a larger step.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Domain:</w:t>
      </w:r>
      <w:r>
        <w:t xml:space="preserve"> </w:t>
      </w:r>
      <w:r>
        <w:t xml:space="preserve">Step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Codomain:</w:t>
      </w:r>
      <w:r>
        <w:t xml:space="preserve"> </w:t>
      </w:r>
      <w:r>
        <w:t xml:space="preserve">Step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Arity:</w:t>
      </w:r>
      <w:r>
        <w:t xml:space="preserve"> </w:t>
      </w:r>
      <w:r>
        <w:t xml:space="preserve">2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Cardinality:</w:t>
      </w:r>
      <w:r>
        <w:t xml:space="preserve"> </w:t>
      </w:r>
      <w:r>
        <w:t xml:space="preserve">1-to-many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Remarks:</w:t>
      </w:r>
      <w:r>
        <w:t xml:space="preserve"> </w:t>
      </w:r>
      <w:r>
        <w:t xml:space="preserve">Some recipe steps are themselves sequences of smaller</w:t>
      </w:r>
      <w:r>
        <w:t xml:space="preserve"> </w:t>
      </w:r>
      <w:r>
        <w:t xml:space="preserve">steps. In the meronymic classification of Winston, Chaffin, and</w:t>
      </w:r>
      <w:r>
        <w:t xml:space="preserve"> </w:t>
      </w:r>
      <w:r>
        <w:t xml:space="preserve">Herrmann</w:t>
      </w:r>
      <w:r>
        <w:t xml:space="preserve"> </w:t>
      </w:r>
      <w:r>
        <w:t xml:space="preserve">(1987)</w:t>
      </w:r>
      <w:r>
        <w:t xml:space="preserve"> </w:t>
      </w:r>
      <w:r>
        <w:t xml:space="preserve">this is an</w:t>
      </w:r>
      <w:r>
        <w:t xml:space="preserve"> </w:t>
      </w:r>
      <w:r>
        <w:t xml:space="preserve">“</w:t>
      </w:r>
      <w:r>
        <w:t xml:space="preserve">activity/feature</w:t>
      </w:r>
      <w:r>
        <w:t xml:space="preserve">”</w:t>
      </w:r>
      <w:r>
        <w:t xml:space="preserve"> </w:t>
      </w:r>
      <w:r>
        <w:t xml:space="preserve">relationship.</w:t>
      </w:r>
    </w:p>
    <w:p>
      <w:pPr>
        <w:pStyle w:val="Heading3"/>
      </w:pPr>
      <w:bookmarkStart w:id="46" w:name="includes"/>
      <w:r>
        <w:t xml:space="preserve">Includes</w:t>
      </w:r>
      <w:bookmarkEnd w:id="46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Scope note:</w:t>
      </w:r>
      <w:r>
        <w:t xml:space="preserve"> </w:t>
      </w:r>
      <w:r>
        <w:t xml:space="preserve">participation of a step in a recipe.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Domain:</w:t>
      </w:r>
      <w:r>
        <w:t xml:space="preserve"> </w:t>
      </w:r>
      <w:r>
        <w:t xml:space="preserve">Recipe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Codomain:</w:t>
      </w:r>
      <w:r>
        <w:t xml:space="preserve"> </w:t>
      </w:r>
      <w:r>
        <w:t xml:space="preserve">Step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Arity:</w:t>
      </w:r>
      <w:r>
        <w:t xml:space="preserve"> </w:t>
      </w:r>
      <w:r>
        <w:t xml:space="preserve">2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Cardinality:</w:t>
      </w:r>
      <w:r>
        <w:t xml:space="preserve"> </w:t>
      </w:r>
      <w:r>
        <w:t xml:space="preserve">many-to-many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Remarks:</w:t>
      </w:r>
      <w:r>
        <w:t xml:space="preserve"> </w:t>
      </w:r>
      <w:r>
        <w:t xml:space="preserve">Some steps will recur in many recipes.</w:t>
      </w:r>
    </w:p>
    <w:p>
      <w:pPr>
        <w:pStyle w:val="Heading3"/>
      </w:pPr>
      <w:bookmarkStart w:id="47" w:name="realizes-property"/>
      <w:r>
        <w:t xml:space="preserve">Realizes property</w:t>
      </w:r>
      <w:bookmarkEnd w:id="47"/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Scope note:</w:t>
      </w:r>
      <w:r>
        <w:t xml:space="preserve"> </w:t>
      </w:r>
      <w:r>
        <w:t xml:space="preserve">An instrumental relationship obtaining between a</w:t>
      </w:r>
      <w:r>
        <w:t xml:space="preserve"> </w:t>
      </w:r>
      <w:r>
        <w:t xml:space="preserve">tool and a qualifying property realized through the use of the</w:t>
      </w:r>
      <w:r>
        <w:t xml:space="preserve"> </w:t>
      </w:r>
      <w:r>
        <w:t xml:space="preserve">tool.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Domain:</w:t>
      </w:r>
      <w:r>
        <w:t xml:space="preserve"> </w:t>
      </w:r>
      <w:r>
        <w:t xml:space="preserve">Tool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Codomain:</w:t>
      </w:r>
      <w:r>
        <w:t xml:space="preserve"> </w:t>
      </w:r>
      <w:r>
        <w:t xml:space="preserve">Qualifying property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Arity:</w:t>
      </w:r>
      <w:r>
        <w:t xml:space="preserve"> </w:t>
      </w:r>
      <w:r>
        <w:t xml:space="preserve">2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Cardinality:</w:t>
      </w:r>
      <w:r>
        <w:t xml:space="preserve"> </w:t>
      </w:r>
      <w:r>
        <w:t xml:space="preserve">many-to-many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Remarks:</w:t>
      </w:r>
      <w:r>
        <w:t xml:space="preserve"> </w:t>
      </w:r>
      <w:r>
        <w:t xml:space="preserve">For example, a grater is used for grating, and can</w:t>
      </w:r>
      <w:r>
        <w:t xml:space="preserve"> </w:t>
      </w:r>
      <w:r>
        <w:t xml:space="preserve">cause something to be grated.</w:t>
      </w:r>
    </w:p>
    <w:p>
      <w:pPr>
        <w:pStyle w:val="Heading3"/>
      </w:pPr>
      <w:bookmarkStart w:id="48" w:name="requires"/>
      <w:r>
        <w:t xml:space="preserve">Requires</w:t>
      </w:r>
      <w:bookmarkEnd w:id="48"/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Scope note:</w:t>
      </w:r>
      <w:r>
        <w:t xml:space="preserve"> </w:t>
      </w:r>
      <w:r>
        <w:t xml:space="preserve">participation of an ingredient in a recipe.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Domain:</w:t>
      </w:r>
      <w:r>
        <w:t xml:space="preserve"> </w:t>
      </w:r>
      <w:r>
        <w:t xml:space="preserve">Recipe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Codomain:</w:t>
      </w:r>
      <w:r>
        <w:t xml:space="preserve"> </w:t>
      </w:r>
      <w:r>
        <w:t xml:space="preserve">Ingredient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Arity:</w:t>
      </w:r>
      <w:r>
        <w:t xml:space="preserve"> </w:t>
      </w:r>
      <w:r>
        <w:t xml:space="preserve">2 (binary relationship)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Cardinality:</w:t>
      </w:r>
      <w:r>
        <w:t xml:space="preserve"> </w:t>
      </w:r>
      <w:r>
        <w:t xml:space="preserve">many-to-many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Remarks:</w:t>
      </w:r>
      <w:r>
        <w:t xml:space="preserve"> </w:t>
      </w:r>
      <w:r>
        <w:t xml:space="preserve">Consider recording the nutritional content of an</w:t>
      </w:r>
      <w:r>
        <w:t xml:space="preserve"> </w:t>
      </w:r>
      <w:r>
        <w:t xml:space="preserve">ingredient; it will be easier to keep consistent if each</w:t>
      </w:r>
      <w:r>
        <w:t xml:space="preserve"> </w:t>
      </w:r>
      <w:r>
        <w:t xml:space="preserve">“</w:t>
      </w:r>
      <w:r>
        <w:t xml:space="preserve">ingredient</w:t>
      </w:r>
      <w:r>
        <w:t xml:space="preserve">”</w:t>
      </w:r>
      <w:r>
        <w:t xml:space="preserve"> </w:t>
      </w:r>
      <w:r>
        <w:t xml:space="preserve">is characterized once. Assuming the nutritional</w:t>
      </w:r>
      <w:r>
        <w:t xml:space="preserve"> </w:t>
      </w:r>
      <w:r>
        <w:t xml:space="preserve">details are consistent across recipes, many-to-many is the more</w:t>
      </w:r>
      <w:r>
        <w:t xml:space="preserve"> </w:t>
      </w:r>
      <w:r>
        <w:t xml:space="preserve">appropriate cardinality.</w:t>
      </w:r>
    </w:p>
    <w:p>
      <w:pPr>
        <w:pStyle w:val="Heading3"/>
      </w:pPr>
      <w:bookmarkStart w:id="49" w:name="uses-tool"/>
      <w:r>
        <w:t xml:space="preserve">Uses tool</w:t>
      </w:r>
      <w:bookmarkEnd w:id="49"/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Scope note:</w:t>
      </w:r>
      <w:r>
        <w:t xml:space="preserve"> </w:t>
      </w:r>
      <w:r>
        <w:t xml:space="preserve">The relationship obtaining between a step in a</w:t>
      </w:r>
      <w:r>
        <w:t xml:space="preserve"> </w:t>
      </w:r>
      <w:r>
        <w:t xml:space="preserve">recipe and a tool employed during that step.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Domain:</w:t>
      </w:r>
      <w:r>
        <w:t xml:space="preserve"> </w:t>
      </w:r>
      <w:r>
        <w:t xml:space="preserve">Step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Codomain:</w:t>
      </w:r>
      <w:r>
        <w:t xml:space="preserve"> </w:t>
      </w:r>
      <w:r>
        <w:t xml:space="preserve">Tool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Arity:</w:t>
      </w:r>
      <w:r>
        <w:t xml:space="preserve"> </w:t>
      </w:r>
      <w:r>
        <w:t xml:space="preserve">2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Cardinality:</w:t>
      </w:r>
      <w:r>
        <w:t xml:space="preserve"> </w:t>
      </w:r>
      <w:r>
        <w:t xml:space="preserve">many-to-many</w:t>
      </w:r>
    </w:p>
    <w:p>
      <w:pPr>
        <w:pStyle w:val="Heading1"/>
      </w:pPr>
      <w:bookmarkStart w:id="50" w:name="references"/>
      <w:r>
        <w:t xml:space="preserve">References</w:t>
      </w:r>
      <w:bookmarkEnd w:id="50"/>
    </w:p>
    <w:bookmarkStart w:id="52" w:name="refs"/>
    <w:bookmarkStart w:id="51" w:name="ref-winston1987"/>
    <w:p>
      <w:pPr>
        <w:pStyle w:val="Bibliography"/>
      </w:pPr>
      <w:r>
        <w:t xml:space="preserve">Winston, Morton E., Roger Chaffin, and Douglas Herrmann. 1987. “A Taxonomy of Part-Whole Relations.”</w:t>
      </w:r>
      <w:r>
        <w:t xml:space="preserve"> </w:t>
      </w:r>
      <w:r>
        <w:rPr>
          <w:i/>
        </w:rPr>
        <w:t xml:space="preserve">Cognitive Science</w:t>
      </w:r>
      <w:r>
        <w:t xml:space="preserve"> </w:t>
      </w:r>
      <w:r>
        <w:t xml:space="preserve">11 (4). Elsevier:417–44.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01d0f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b7aea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classes and relationships for recipes</dc:title>
  <dc:creator>Dave Dubin</dc:creator>
  <cp:keywords/>
  <dcterms:created xsi:type="dcterms:W3CDTF">2019-02-02T21:50:45Z</dcterms:created>
  <dcterms:modified xsi:type="dcterms:W3CDTF">2019-02-02T21:50:45Z</dcterms:modified>
</cp:coreProperties>
</file>