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9535" w14:textId="77777777" w:rsidR="002A561F" w:rsidRPr="002A561F" w:rsidRDefault="002A561F" w:rsidP="002A561F">
      <w:pPr>
        <w:rPr>
          <w:b/>
          <w:bCs/>
        </w:rPr>
      </w:pPr>
      <w:r w:rsidRPr="002A561F">
        <w:rPr>
          <w:b/>
          <w:bCs/>
        </w:rPr>
        <w:t>Learning by Doing: How a Board Gets “AI Fluent” Without Becoming a Classroom</w:t>
      </w:r>
    </w:p>
    <w:p w14:paraId="7CB7FF0C" w14:textId="77777777" w:rsidR="002A561F" w:rsidRPr="002A561F" w:rsidRDefault="002A561F" w:rsidP="002A561F">
      <w:pPr>
        <w:rPr>
          <w:b/>
          <w:bCs/>
        </w:rPr>
      </w:pPr>
      <w:r w:rsidRPr="002A561F">
        <w:rPr>
          <w:b/>
          <w:bCs/>
        </w:rPr>
        <w:t>Boards keep asking the same question: how do we get up to speed on AI?</w:t>
      </w:r>
    </w:p>
    <w:p w14:paraId="39C065AC" w14:textId="77777777" w:rsidR="002A561F" w:rsidRPr="002A561F" w:rsidRDefault="002A561F" w:rsidP="002A561F">
      <w:pPr>
        <w:rPr>
          <w:b/>
          <w:bCs/>
        </w:rPr>
      </w:pPr>
      <w:r w:rsidRPr="002A561F">
        <w:rPr>
          <w:b/>
          <w:bCs/>
        </w:rPr>
        <w:t>The default answer is always more education—briefings, primers, external speakers, vendor demos, “AI literacy” programmes. It feels responsible. It also usually fails.</w:t>
      </w:r>
    </w:p>
    <w:p w14:paraId="25094A22" w14:textId="77777777" w:rsidR="002A561F" w:rsidRPr="002A561F" w:rsidRDefault="002A561F" w:rsidP="002A561F">
      <w:pPr>
        <w:rPr>
          <w:b/>
          <w:bCs/>
        </w:rPr>
      </w:pPr>
      <w:r w:rsidRPr="002A561F">
        <w:rPr>
          <w:b/>
          <w:bCs/>
        </w:rPr>
        <w:t>Not because directors aren’t smart, but because board competence isn’t a vocabulary test. A board is “up to speed” when it can make high-quality decisions under uncertainty—about value, operating model change, and risk—without slipping into theatre or deference to whoever sounds most technical. That kind of fluency doesn’t come from being told. It comes from repetition: governing real decisions, with real trade-offs, using evidence that survives contact with reality.</w:t>
      </w:r>
    </w:p>
    <w:p w14:paraId="706DBB3D" w14:textId="77777777" w:rsidR="002A561F" w:rsidRPr="002A561F" w:rsidRDefault="002A561F" w:rsidP="002A561F">
      <w:pPr>
        <w:rPr>
          <w:b/>
          <w:bCs/>
        </w:rPr>
      </w:pPr>
      <w:r w:rsidRPr="002A561F">
        <w:rPr>
          <w:b/>
          <w:bCs/>
        </w:rPr>
        <w:t>That’s what “learning by doing” should mean for a board. Not directors playing with chatbots for fun, and not a heroic attempt to turn non-execs into technologists. It means governing AI like a structural mandate: forcing choices, attaching conditions, and building institutional memory so judgment compounds across cycles.</w:t>
      </w:r>
    </w:p>
    <w:p w14:paraId="3CB4F88A" w14:textId="77777777" w:rsidR="002A561F" w:rsidRPr="002A561F" w:rsidRDefault="002A561F" w:rsidP="002A561F">
      <w:pPr>
        <w:rPr>
          <w:b/>
          <w:bCs/>
        </w:rPr>
      </w:pPr>
      <w:r w:rsidRPr="002A561F">
        <w:rPr>
          <w:b/>
          <w:bCs/>
        </w:rPr>
        <w:t>Here’s how to do it without dragging directors into operating detail, and without turning the board agenda into an endless seminar.</w:t>
      </w:r>
    </w:p>
    <w:p w14:paraId="05AF96D6" w14:textId="77777777" w:rsidR="002A561F" w:rsidRPr="002A561F" w:rsidRDefault="002A561F" w:rsidP="002A561F">
      <w:pPr>
        <w:rPr>
          <w:b/>
          <w:bCs/>
        </w:rPr>
      </w:pPr>
      <w:r w:rsidRPr="002A561F">
        <w:rPr>
          <w:b/>
          <w:bCs/>
        </w:rPr>
        <w:t>Tools: Self-Serve Fluency, Not Power Users</w:t>
      </w:r>
    </w:p>
    <w:p w14:paraId="3C3A34E8" w14:textId="77777777" w:rsidR="002A561F" w:rsidRPr="002A561F" w:rsidRDefault="002A561F" w:rsidP="002A561F">
      <w:pPr>
        <w:rPr>
          <w:b/>
          <w:bCs/>
        </w:rPr>
      </w:pPr>
      <w:r w:rsidRPr="002A561F">
        <w:rPr>
          <w:b/>
          <w:bCs/>
        </w:rPr>
        <w:t>The first move is to equip the board with AI tools—but in a very specific way.</w:t>
      </w:r>
    </w:p>
    <w:p w14:paraId="200C85B8" w14:textId="77777777" w:rsidR="002A561F" w:rsidRPr="002A561F" w:rsidRDefault="002A561F" w:rsidP="002A561F">
      <w:pPr>
        <w:rPr>
          <w:b/>
          <w:bCs/>
        </w:rPr>
      </w:pPr>
      <w:r w:rsidRPr="002A561F">
        <w:rPr>
          <w:b/>
          <w:bCs/>
        </w:rPr>
        <w:t>Most directors don’t need to become expert users. They need to become faster at orienting themselves and sharper at interrogating what they’re shown. The board pack burden is rising: more complexity, more dependencies, more claims, more jargon. A board-safe assistant—properly permissioned, with clear boundaries—can remove friction where it matters.</w:t>
      </w:r>
    </w:p>
    <w:p w14:paraId="1B72AABA" w14:textId="77777777" w:rsidR="002A561F" w:rsidRPr="002A561F" w:rsidRDefault="002A561F" w:rsidP="002A561F">
      <w:pPr>
        <w:rPr>
          <w:b/>
          <w:bCs/>
        </w:rPr>
      </w:pPr>
      <w:r w:rsidRPr="002A561F">
        <w:rPr>
          <w:b/>
          <w:bCs/>
        </w:rPr>
        <w:t>Used well, it lets directors pull forward prior decisions and conditions, compare what was promised to what moved, surface contradictions across months, and identify where there is still hand-waving behind the narrative. It shortens the distance from “I think I’m being sold something” to “show me the evidence.” It reduces the cost of scepticism, which is one of the hidden constraints on good governance.</w:t>
      </w:r>
    </w:p>
    <w:p w14:paraId="190C74F8" w14:textId="77777777" w:rsidR="002A561F" w:rsidRPr="002A561F" w:rsidRDefault="002A561F" w:rsidP="002A561F">
      <w:pPr>
        <w:rPr>
          <w:b/>
          <w:bCs/>
        </w:rPr>
      </w:pPr>
      <w:r w:rsidRPr="002A561F">
        <w:rPr>
          <w:b/>
          <w:bCs/>
        </w:rPr>
        <w:t>This isn’t about “teaching AI.” It’s about making the board a better governing system: quicker to interrogate, harder to mislead, less dependent on management framing. And it has a useful side-effect: it deprives theatre of oxygen. It is much harder to hide vagueness when directors can cross-check claims in minutes rather than days.</w:t>
      </w:r>
    </w:p>
    <w:p w14:paraId="0DF007F1" w14:textId="77777777" w:rsidR="002A561F" w:rsidRPr="002A561F" w:rsidRDefault="002A561F" w:rsidP="002A561F">
      <w:pPr>
        <w:rPr>
          <w:b/>
          <w:bCs/>
        </w:rPr>
      </w:pPr>
      <w:r w:rsidRPr="002A561F">
        <w:rPr>
          <w:b/>
          <w:bCs/>
        </w:rPr>
        <w:t>Proposals: Bring Boldness, But Only in Decision Shape</w:t>
      </w:r>
    </w:p>
    <w:p w14:paraId="4C6D64B8" w14:textId="77777777" w:rsidR="002A561F" w:rsidRPr="002A561F" w:rsidRDefault="002A561F" w:rsidP="002A561F">
      <w:pPr>
        <w:rPr>
          <w:b/>
          <w:bCs/>
        </w:rPr>
      </w:pPr>
      <w:r w:rsidRPr="002A561F">
        <w:rPr>
          <w:b/>
          <w:bCs/>
        </w:rPr>
        <w:t>The second move is to make management bring AI proposals that are bold—but also governable.</w:t>
      </w:r>
    </w:p>
    <w:p w14:paraId="1BBDBB37" w14:textId="77777777" w:rsidR="002A561F" w:rsidRPr="002A561F" w:rsidRDefault="002A561F" w:rsidP="002A561F">
      <w:pPr>
        <w:rPr>
          <w:b/>
          <w:bCs/>
        </w:rPr>
      </w:pPr>
      <w:r w:rsidRPr="002A561F">
        <w:rPr>
          <w:b/>
          <w:bCs/>
        </w:rPr>
        <w:t>Many organisations do the opposite. They bring a portfolio of pilots, a vague update on “progress,” and an implicit request for applause. It looks like motion. It avoids decision. Learning by doing starts when the Chair insists that AI discussions end in choices. Not “isn’t this interesting,” but “are we approving, scaling, pausing, or stopping—and under what conditions?”</w:t>
      </w:r>
    </w:p>
    <w:p w14:paraId="58C3F4B0" w14:textId="77777777" w:rsidR="002A561F" w:rsidRPr="002A561F" w:rsidRDefault="002A561F" w:rsidP="002A561F">
      <w:pPr>
        <w:rPr>
          <w:b/>
          <w:bCs/>
        </w:rPr>
      </w:pPr>
      <w:r w:rsidRPr="002A561F">
        <w:rPr>
          <w:b/>
          <w:bCs/>
        </w:rPr>
        <w:lastRenderedPageBreak/>
        <w:t>That requires a shift from presentations to Board Cases. Not templates for the sake of templates, but a discipline: management must state plainly what decision is being requested, what value is at stake, what must change in the operating model, what the assurance posture is, and what trade-offs are being made.</w:t>
      </w:r>
    </w:p>
    <w:p w14:paraId="708ED741" w14:textId="77777777" w:rsidR="002A561F" w:rsidRPr="002A561F" w:rsidRDefault="002A561F" w:rsidP="002A561F">
      <w:pPr>
        <w:rPr>
          <w:b/>
          <w:bCs/>
        </w:rPr>
      </w:pPr>
      <w:r w:rsidRPr="002A561F">
        <w:rPr>
          <w:b/>
          <w:bCs/>
        </w:rPr>
        <w:t>Trade-offs are the tell. AI is routinely treated as additive—new tools, new teams, new dashboards, new governance—without corresponding subtraction. That is how complexity grows and productivity disappears. So every serious AI proposal should be forced to answer one uncomfortable question: what stops? What gets retired, decommissioned, simplified, or redesigned so this becomes part of the core rather than a parallel universe?</w:t>
      </w:r>
    </w:p>
    <w:p w14:paraId="32E4D838" w14:textId="77777777" w:rsidR="002A561F" w:rsidRPr="002A561F" w:rsidRDefault="002A561F" w:rsidP="002A561F">
      <w:pPr>
        <w:rPr>
          <w:b/>
          <w:bCs/>
        </w:rPr>
      </w:pPr>
      <w:r w:rsidRPr="002A561F">
        <w:rPr>
          <w:b/>
          <w:bCs/>
        </w:rPr>
        <w:t>If the answer is “nothing,” you don’t have transformation. You have accumulation.</w:t>
      </w:r>
    </w:p>
    <w:p w14:paraId="10479CB6" w14:textId="77777777" w:rsidR="002A561F" w:rsidRPr="002A561F" w:rsidRDefault="002A561F" w:rsidP="002A561F">
      <w:pPr>
        <w:rPr>
          <w:b/>
          <w:bCs/>
        </w:rPr>
      </w:pPr>
      <w:r w:rsidRPr="002A561F">
        <w:rPr>
          <w:b/>
          <w:bCs/>
        </w:rPr>
        <w:t>Co-Working: Replace Training With Co-Development</w:t>
      </w:r>
    </w:p>
    <w:p w14:paraId="2653A6B8" w14:textId="77777777" w:rsidR="002A561F" w:rsidRPr="002A561F" w:rsidRDefault="002A561F" w:rsidP="002A561F">
      <w:pPr>
        <w:rPr>
          <w:b/>
          <w:bCs/>
        </w:rPr>
      </w:pPr>
      <w:r w:rsidRPr="002A561F">
        <w:rPr>
          <w:b/>
          <w:bCs/>
        </w:rPr>
        <w:t>Even with better tools and better Board Cases, boards can still be trapped by formal papers that aren’t honest—or by discovering too late that a proposal is not ready, and defaulting either to rubber-stamping or delaying. Both feed theatre.</w:t>
      </w:r>
    </w:p>
    <w:p w14:paraId="722FA7F3" w14:textId="77777777" w:rsidR="002A561F" w:rsidRPr="002A561F" w:rsidRDefault="002A561F" w:rsidP="002A561F">
      <w:pPr>
        <w:rPr>
          <w:b/>
          <w:bCs/>
        </w:rPr>
      </w:pPr>
      <w:r w:rsidRPr="002A561F">
        <w:rPr>
          <w:b/>
          <w:bCs/>
        </w:rPr>
        <w:t>This is where Chairs can change the game: replace classroom learning with co-working.</w:t>
      </w:r>
    </w:p>
    <w:p w14:paraId="294AFD94" w14:textId="77777777" w:rsidR="002A561F" w:rsidRPr="002A561F" w:rsidRDefault="002A561F" w:rsidP="002A561F">
      <w:pPr>
        <w:rPr>
          <w:b/>
          <w:bCs/>
        </w:rPr>
      </w:pPr>
      <w:r w:rsidRPr="002A561F">
        <w:rPr>
          <w:b/>
          <w:bCs/>
        </w:rPr>
        <w:t>Instead of scheduling more teach-ins, run short, structured co-development sessions with the CEO and the relevant executives ahead of the board meeting. The purpose isn’t to do management’s job. It’s to turn a raw idea into a decision-quality proposal and, in the process, build the board’s judgment through exposure to real constraints and real trade-offs.</w:t>
      </w:r>
    </w:p>
    <w:p w14:paraId="3CEEEA9C" w14:textId="77777777" w:rsidR="002A561F" w:rsidRPr="002A561F" w:rsidRDefault="002A561F" w:rsidP="002A561F">
      <w:pPr>
        <w:rPr>
          <w:b/>
          <w:bCs/>
        </w:rPr>
      </w:pPr>
      <w:r w:rsidRPr="002A561F">
        <w:rPr>
          <w:b/>
          <w:bCs/>
        </w:rPr>
        <w:t>A well-run session is not long—sixty to ninety minutes—and it has an outcome: the board meeting should not be the first time anyone realises what is unclear. The Chair runs it like a mini-board and keeps the conversation anchored on blunt questions. What decision will the board be asked to make? What evidence would make a sceptical director say yes? What hard trade-off are you avoiding saying out loud? Where will this fail in the real organisation? What conditions would the board impose to make it safe and scalable?</w:t>
      </w:r>
    </w:p>
    <w:p w14:paraId="34AB4654" w14:textId="77777777" w:rsidR="002A561F" w:rsidRPr="002A561F" w:rsidRDefault="002A561F" w:rsidP="002A561F">
      <w:pPr>
        <w:rPr>
          <w:b/>
          <w:bCs/>
        </w:rPr>
      </w:pPr>
      <w:r w:rsidRPr="002A561F">
        <w:rPr>
          <w:b/>
          <w:bCs/>
        </w:rPr>
        <w:t>Conditions are how boards turn ambition into discipline. Most meaningful AI proposals should not be approved or rejected outright; they should be approved with conditions that force reality—named ownership, secured data access, a credible route into business-as-usual, workflow redesign, controls that match materiality, and time-bound milestones that prove this can move from demo to deployment.</w:t>
      </w:r>
    </w:p>
    <w:p w14:paraId="29B5CE52" w14:textId="77777777" w:rsidR="002A561F" w:rsidRPr="002A561F" w:rsidRDefault="002A561F" w:rsidP="002A561F">
      <w:pPr>
        <w:rPr>
          <w:b/>
          <w:bCs/>
        </w:rPr>
      </w:pPr>
      <w:r w:rsidRPr="002A561F">
        <w:rPr>
          <w:b/>
          <w:bCs/>
        </w:rPr>
        <w:t>Co-working teaches directors what “decision-grade” looks like because they are shaping it with management, repeatedly. Fluency is built through practice, not lectures. The boardroom becomes the place where decisions are taken, not where readiness is discovered.</w:t>
      </w:r>
    </w:p>
    <w:p w14:paraId="3EB8F668" w14:textId="77777777" w:rsidR="002A561F" w:rsidRPr="002A561F" w:rsidRDefault="002A561F" w:rsidP="002A561F">
      <w:pPr>
        <w:rPr>
          <w:b/>
          <w:bCs/>
        </w:rPr>
      </w:pPr>
      <w:r w:rsidRPr="002A561F">
        <w:rPr>
          <w:b/>
          <w:bCs/>
        </w:rPr>
        <w:t>Evidence Sessions: Make “Field Trips” Decision-Relevant</w:t>
      </w:r>
    </w:p>
    <w:p w14:paraId="58D1CCB8" w14:textId="77777777" w:rsidR="002A561F" w:rsidRPr="002A561F" w:rsidRDefault="002A561F" w:rsidP="002A561F">
      <w:pPr>
        <w:rPr>
          <w:b/>
          <w:bCs/>
        </w:rPr>
      </w:pPr>
      <w:r w:rsidRPr="002A561F">
        <w:rPr>
          <w:b/>
          <w:bCs/>
        </w:rPr>
        <w:t>Many boards like the idea of visiting the front line to “see AI in action.” The intention is right. The execution is often not. Unstructured visits become operational tourism—interesting, but not decision-relevant.</w:t>
      </w:r>
    </w:p>
    <w:p w14:paraId="03A79FFD" w14:textId="77777777" w:rsidR="002A561F" w:rsidRPr="002A561F" w:rsidRDefault="002A561F" w:rsidP="002A561F">
      <w:pPr>
        <w:rPr>
          <w:b/>
          <w:bCs/>
        </w:rPr>
      </w:pPr>
      <w:r w:rsidRPr="002A561F">
        <w:rPr>
          <w:b/>
          <w:bCs/>
        </w:rPr>
        <w:t xml:space="preserve">The fix is simple: tie every visit to a pending board decision and define, in advance, what questions the visit is meant to answer. Think of these as evidence sessions, not site visits. </w:t>
      </w:r>
      <w:r w:rsidRPr="002A561F">
        <w:rPr>
          <w:b/>
          <w:bCs/>
        </w:rPr>
        <w:lastRenderedPageBreak/>
        <w:t>If management is asking to scale an AI-enabled process, the biggest risks are rarely in the model itself. They are in the workflow: what humans actually do, what they stop doing, what new failure modes appear, where authority sits, and what evidence is captured when things go wrong.</w:t>
      </w:r>
    </w:p>
    <w:p w14:paraId="50B16B06" w14:textId="77777777" w:rsidR="002A561F" w:rsidRPr="002A561F" w:rsidRDefault="002A561F" w:rsidP="002A561F">
      <w:pPr>
        <w:rPr>
          <w:b/>
          <w:bCs/>
        </w:rPr>
      </w:pPr>
      <w:r w:rsidRPr="002A561F">
        <w:rPr>
          <w:b/>
          <w:bCs/>
        </w:rPr>
        <w:t>So the board should arrive with two or three governance questions. What happens when the AI flags an issue—who acts, and how quickly? What happens when a human disagrees with the output—who wins, and why? What gets logged today, and would we be able to reconstruct a decision if challenged by a regulator, a court, or a journalist? Where does data quality break? What is the incentive for staff to comply, to override, or to quietly route around the system?</w:t>
      </w:r>
    </w:p>
    <w:p w14:paraId="4163B546" w14:textId="77777777" w:rsidR="002A561F" w:rsidRPr="002A561F" w:rsidRDefault="002A561F" w:rsidP="002A561F">
      <w:pPr>
        <w:rPr>
          <w:b/>
          <w:bCs/>
        </w:rPr>
      </w:pPr>
      <w:r w:rsidRPr="002A561F">
        <w:rPr>
          <w:b/>
          <w:bCs/>
        </w:rPr>
        <w:t>After the evidence session there should be a short note—one page, not a report—that feeds directly into the decision. Not colour. Not anecdotes. “Here is what we saw, here is what it implies, here are the conditions we now require before scaling.”</w:t>
      </w:r>
    </w:p>
    <w:p w14:paraId="292E0E15" w14:textId="77777777" w:rsidR="002A561F" w:rsidRPr="002A561F" w:rsidRDefault="002A561F" w:rsidP="002A561F">
      <w:pPr>
        <w:rPr>
          <w:b/>
          <w:bCs/>
        </w:rPr>
      </w:pPr>
      <w:r w:rsidRPr="002A561F">
        <w:rPr>
          <w:b/>
          <w:bCs/>
        </w:rPr>
        <w:t>That discipline makes these sessions valuable and repeatable. It also builds board intuition quickly. Directors learn that “the tool works” and “the organisation changes” are different propositions. They learn where AI projects die: not in the demo, but in the messy intersection of workflow, authority, and accountability.</w:t>
      </w:r>
    </w:p>
    <w:p w14:paraId="66DEF253" w14:textId="77777777" w:rsidR="002A561F" w:rsidRPr="002A561F" w:rsidRDefault="002A561F" w:rsidP="002A561F">
      <w:pPr>
        <w:rPr>
          <w:b/>
          <w:bCs/>
        </w:rPr>
      </w:pPr>
      <w:r w:rsidRPr="002A561F">
        <w:rPr>
          <w:b/>
          <w:bCs/>
        </w:rPr>
        <w:t>Rehearsal: Update the Cyber Tabletop Into an AI Incident Tabletop</w:t>
      </w:r>
    </w:p>
    <w:p w14:paraId="12034AEC" w14:textId="77777777" w:rsidR="002A561F" w:rsidRPr="002A561F" w:rsidRDefault="002A561F" w:rsidP="002A561F">
      <w:pPr>
        <w:rPr>
          <w:b/>
          <w:bCs/>
        </w:rPr>
      </w:pPr>
      <w:r w:rsidRPr="002A561F">
        <w:rPr>
          <w:b/>
          <w:bCs/>
        </w:rPr>
        <w:t>Most boards now accept that cyber resilience requires rehearsal. You don’t want the first time you discuss disclosure, shut-off authority, communications, and evidence trails to be during the breach.</w:t>
      </w:r>
    </w:p>
    <w:p w14:paraId="235E0160" w14:textId="77777777" w:rsidR="002A561F" w:rsidRPr="002A561F" w:rsidRDefault="002A561F" w:rsidP="002A561F">
      <w:pPr>
        <w:rPr>
          <w:b/>
          <w:bCs/>
        </w:rPr>
      </w:pPr>
      <w:r w:rsidRPr="002A561F">
        <w:rPr>
          <w:b/>
          <w:bCs/>
        </w:rPr>
        <w:t>AI deserves the same treatment.</w:t>
      </w:r>
    </w:p>
    <w:p w14:paraId="686777D8" w14:textId="77777777" w:rsidR="002A561F" w:rsidRPr="002A561F" w:rsidRDefault="002A561F" w:rsidP="002A561F">
      <w:pPr>
        <w:rPr>
          <w:b/>
          <w:bCs/>
        </w:rPr>
      </w:pPr>
      <w:r w:rsidRPr="002A561F">
        <w:rPr>
          <w:b/>
          <w:bCs/>
        </w:rPr>
        <w:t>Not because AI is “like cyber,” but because it introduces a new class of institutional incidents: decision systems behaving in ways the organisation cannot explain quickly enough, credibly enough, or defensibly enough.</w:t>
      </w:r>
    </w:p>
    <w:p w14:paraId="646D8D9B" w14:textId="77777777" w:rsidR="002A561F" w:rsidRPr="002A561F" w:rsidRDefault="002A561F" w:rsidP="002A561F">
      <w:pPr>
        <w:rPr>
          <w:b/>
          <w:bCs/>
        </w:rPr>
      </w:pPr>
      <w:r w:rsidRPr="002A561F">
        <w:rPr>
          <w:b/>
          <w:bCs/>
        </w:rPr>
        <w:t>The Chair can frame this as a natural evolution of existing practice: we already rehearse cyber; now we rehearse AI. Pick one plausible “front page” scenario—an AI-assisted customer communication that goes wrong at scale, a pricing or eligibility controversy, vendor failure or model drift causing customer harm, boundary breaches through misuse rather than malice—and test the board-level mechanics. Who is accountable for switching it off? What evidence exists to explain what happened? What do we disclose to regulators, customers, employees, and markets—and when? What should have triggered escalation earlier? What do we wish we had instrumented six months ago?</w:t>
      </w:r>
    </w:p>
    <w:p w14:paraId="59DE61FA" w14:textId="77777777" w:rsidR="002A561F" w:rsidRPr="002A561F" w:rsidRDefault="002A561F" w:rsidP="002A561F">
      <w:pPr>
        <w:rPr>
          <w:b/>
          <w:bCs/>
        </w:rPr>
      </w:pPr>
      <w:r w:rsidRPr="002A561F">
        <w:rPr>
          <w:b/>
          <w:bCs/>
        </w:rPr>
        <w:t>Run this once and directors become smarter overnight. Not about model architecture, but about fiduciary duty: accountability, auditability, escalation, and preparedness. It also hardens the organisation’s posture. Hand-waving about controls becomes harder when the board has rehearsed what failure looks like and what evidence would be demanded. And it builds trust, because it signals that governance is serious about pace and safety rather than forcing a false choice between them.</w:t>
      </w:r>
    </w:p>
    <w:p w14:paraId="43619886" w14:textId="77777777" w:rsidR="002A561F" w:rsidRPr="002A561F" w:rsidRDefault="002A561F" w:rsidP="002A561F">
      <w:pPr>
        <w:rPr>
          <w:b/>
          <w:bCs/>
        </w:rPr>
      </w:pPr>
      <w:r w:rsidRPr="002A561F">
        <w:rPr>
          <w:b/>
          <w:bCs/>
        </w:rPr>
        <w:t>External Coaching: Bring a Shipper, Not a Prophet</w:t>
      </w:r>
    </w:p>
    <w:p w14:paraId="12252B51" w14:textId="77777777" w:rsidR="002A561F" w:rsidRPr="002A561F" w:rsidRDefault="002A561F" w:rsidP="002A561F">
      <w:pPr>
        <w:rPr>
          <w:b/>
          <w:bCs/>
        </w:rPr>
      </w:pPr>
      <w:r w:rsidRPr="002A561F">
        <w:rPr>
          <w:b/>
          <w:bCs/>
        </w:rPr>
        <w:t>Boards are surrounded by AI commentary. Much of it is vendor marketing or broad futurism, neither of which helps a board govern.</w:t>
      </w:r>
    </w:p>
    <w:p w14:paraId="36FB85B6" w14:textId="77777777" w:rsidR="002A561F" w:rsidRPr="002A561F" w:rsidRDefault="002A561F" w:rsidP="002A561F">
      <w:pPr>
        <w:rPr>
          <w:b/>
          <w:bCs/>
        </w:rPr>
      </w:pPr>
      <w:r w:rsidRPr="002A561F">
        <w:rPr>
          <w:b/>
          <w:bCs/>
        </w:rPr>
        <w:lastRenderedPageBreak/>
        <w:t>The external voice that matters is someone who has shipped AI into core workflows at scale—someone who understands where projects fail, how adoption actually works, and what “good controls” look like outside a slide deck. Their role is not to present. It is to coach the quality of governance: pressure-test whether Board Cases are decision-grade, sanity-check whether scaling assumptions are realistic, and spot early signs of theatre—activity without subtraction, pilots without owners, controls that exist only as statements.</w:t>
      </w:r>
    </w:p>
    <w:p w14:paraId="6A45754D" w14:textId="77777777" w:rsidR="002A561F" w:rsidRPr="002A561F" w:rsidRDefault="002A561F" w:rsidP="002A561F">
      <w:pPr>
        <w:rPr>
          <w:b/>
          <w:bCs/>
        </w:rPr>
      </w:pPr>
      <w:r w:rsidRPr="002A561F">
        <w:rPr>
          <w:b/>
          <w:bCs/>
        </w:rPr>
        <w:t>Used well, this helps the board avoid two classic errors: being seduced by optimism, or overcorrecting into paralysis. It also avoids “talisman risk.” The board doesn’t become dependent on one AI-savvy director. Competence becomes distributed, and challenge becomes normal.</w:t>
      </w:r>
    </w:p>
    <w:p w14:paraId="05B1F12E" w14:textId="77777777" w:rsidR="002A561F" w:rsidRPr="002A561F" w:rsidRDefault="002A561F" w:rsidP="002A561F">
      <w:pPr>
        <w:rPr>
          <w:b/>
          <w:bCs/>
        </w:rPr>
      </w:pPr>
      <w:r w:rsidRPr="002A561F">
        <w:rPr>
          <w:b/>
          <w:bCs/>
        </w:rPr>
        <w:t>The Board’s Learning Test</w:t>
      </w:r>
    </w:p>
    <w:p w14:paraId="167E1BE6" w14:textId="77777777" w:rsidR="002A561F" w:rsidRPr="002A561F" w:rsidRDefault="002A561F" w:rsidP="002A561F">
      <w:pPr>
        <w:rPr>
          <w:b/>
          <w:bCs/>
        </w:rPr>
      </w:pPr>
      <w:r w:rsidRPr="002A561F">
        <w:rPr>
          <w:b/>
          <w:bCs/>
        </w:rPr>
        <w:t>Put these moves together and something shifts. The board stops chasing “AI understanding” as a destination and starts building “AI governance competence” as a habit. Each cycle makes the next cycle better because the board is accumulating judgment, not slides.</w:t>
      </w:r>
    </w:p>
    <w:p w14:paraId="7F010424" w14:textId="77777777" w:rsidR="002A561F" w:rsidRPr="002A561F" w:rsidRDefault="002A561F" w:rsidP="002A561F">
      <w:pPr>
        <w:rPr>
          <w:b/>
          <w:bCs/>
        </w:rPr>
      </w:pPr>
      <w:r w:rsidRPr="002A561F">
        <w:rPr>
          <w:b/>
          <w:bCs/>
        </w:rPr>
        <w:t>If you want a simple test for whether “learning by doing” is real, look at the next two board cycles and ask three questions plainly. Are directors asking sharper, faster, more consistent questions—because they can self-serve context and interrogate evidence? Are AI proposals arriving in genuine decision shape—explicit trade-offs, credible business-as-usual landing, and an assurance posture that matches materiality? And are you building institutional memory—through co-working, evidence sessions, and rehearsals—so governance compounds rather than resets?</w:t>
      </w:r>
    </w:p>
    <w:p w14:paraId="6508E51E" w14:textId="77777777" w:rsidR="002A561F" w:rsidRPr="002A561F" w:rsidRDefault="002A561F" w:rsidP="002A561F">
      <w:pPr>
        <w:rPr>
          <w:b/>
          <w:bCs/>
        </w:rPr>
      </w:pPr>
      <w:r w:rsidRPr="002A561F">
        <w:rPr>
          <w:b/>
          <w:bCs/>
        </w:rPr>
        <w:t>If the answer is yes, the board is getting up to speed in the only way that matters: by governing AI like a structural shift, not like a topic. If the answer is no, the board may still be learning vocabulary. But it isn’t yet learning how to lead.</w:t>
      </w:r>
    </w:p>
    <w:p w14:paraId="744FD458" w14:textId="77777777" w:rsidR="00050861" w:rsidRDefault="00050861"/>
    <w:sectPr w:rsidR="000508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1F"/>
    <w:rsid w:val="00050861"/>
    <w:rsid w:val="002A561F"/>
    <w:rsid w:val="006363F8"/>
    <w:rsid w:val="009A7412"/>
    <w:rsid w:val="00AE15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2293"/>
  <w15:chartTrackingRefBased/>
  <w15:docId w15:val="{2F0475C0-8FE4-41B7-AF67-0C2AE7015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61F"/>
    <w:rPr>
      <w:rFonts w:eastAsiaTheme="majorEastAsia" w:cstheme="majorBidi"/>
      <w:color w:val="272727" w:themeColor="text1" w:themeTint="D8"/>
    </w:rPr>
  </w:style>
  <w:style w:type="paragraph" w:styleId="Title">
    <w:name w:val="Title"/>
    <w:basedOn w:val="Normal"/>
    <w:next w:val="Normal"/>
    <w:link w:val="TitleChar"/>
    <w:uiPriority w:val="10"/>
    <w:qFormat/>
    <w:rsid w:val="002A5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61F"/>
    <w:pPr>
      <w:spacing w:before="160"/>
      <w:jc w:val="center"/>
    </w:pPr>
    <w:rPr>
      <w:i/>
      <w:iCs/>
      <w:color w:val="404040" w:themeColor="text1" w:themeTint="BF"/>
    </w:rPr>
  </w:style>
  <w:style w:type="character" w:customStyle="1" w:styleId="QuoteChar">
    <w:name w:val="Quote Char"/>
    <w:basedOn w:val="DefaultParagraphFont"/>
    <w:link w:val="Quote"/>
    <w:uiPriority w:val="29"/>
    <w:rsid w:val="002A561F"/>
    <w:rPr>
      <w:i/>
      <w:iCs/>
      <w:color w:val="404040" w:themeColor="text1" w:themeTint="BF"/>
    </w:rPr>
  </w:style>
  <w:style w:type="paragraph" w:styleId="ListParagraph">
    <w:name w:val="List Paragraph"/>
    <w:basedOn w:val="Normal"/>
    <w:uiPriority w:val="34"/>
    <w:qFormat/>
    <w:rsid w:val="002A561F"/>
    <w:pPr>
      <w:ind w:left="720"/>
      <w:contextualSpacing/>
    </w:pPr>
  </w:style>
  <w:style w:type="character" w:styleId="IntenseEmphasis">
    <w:name w:val="Intense Emphasis"/>
    <w:basedOn w:val="DefaultParagraphFont"/>
    <w:uiPriority w:val="21"/>
    <w:qFormat/>
    <w:rsid w:val="002A561F"/>
    <w:rPr>
      <w:i/>
      <w:iCs/>
      <w:color w:val="0F4761" w:themeColor="accent1" w:themeShade="BF"/>
    </w:rPr>
  </w:style>
  <w:style w:type="paragraph" w:styleId="IntenseQuote">
    <w:name w:val="Intense Quote"/>
    <w:basedOn w:val="Normal"/>
    <w:next w:val="Normal"/>
    <w:link w:val="IntenseQuoteChar"/>
    <w:uiPriority w:val="30"/>
    <w:qFormat/>
    <w:rsid w:val="002A5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61F"/>
    <w:rPr>
      <w:i/>
      <w:iCs/>
      <w:color w:val="0F4761" w:themeColor="accent1" w:themeShade="BF"/>
    </w:rPr>
  </w:style>
  <w:style w:type="character" w:styleId="IntenseReference">
    <w:name w:val="Intense Reference"/>
    <w:basedOn w:val="DefaultParagraphFont"/>
    <w:uiPriority w:val="32"/>
    <w:qFormat/>
    <w:rsid w:val="002A56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1677</Words>
  <Characters>9559</Characters>
  <Application>Microsoft Office Word</Application>
  <DocSecurity>0</DocSecurity>
  <Lines>79</Lines>
  <Paragraphs>22</Paragraphs>
  <ScaleCrop>false</ScaleCrop>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Willmott</dc:creator>
  <cp:keywords/>
  <dc:description/>
  <cp:lastModifiedBy>Paul Willmott</cp:lastModifiedBy>
  <cp:revision>1</cp:revision>
  <dcterms:created xsi:type="dcterms:W3CDTF">2026-02-24T08:36:00Z</dcterms:created>
  <dcterms:modified xsi:type="dcterms:W3CDTF">2026-02-24T08:40:00Z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2026-02-24T08:40:21Z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4e35eac2-01f6-4d4b-b2e5-1e00b3644e5f</vt:lpwstr>
  </property>
  <property fmtid="{D5CDD505-2E9C-101B-9397-08002B2CF9AE}" pid="7" name="MSIP_Label_defa4170-0d19-0005-0004-bc88714345d2_ActionId">
    <vt:lpwstr>9467d827-c285-46d1-9436-3e221da1ba85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