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120" w:before="0"/>
        <w:jc w:val="center"/>
      </w:pPr>
      <w:r>
        <w:rPr>
          <w:rFonts w:ascii="Times New Roman" w:cs="Times New Roman" w:eastAsia="Times New Roman" w:hAnsi="Times New Roman"/>
          <w:b/>
          <w:bCs/>
          <w:sz w:val="36"/>
          <w:szCs w:val="36"/>
        </w:rPr>
        <w:t xml:space="preserve">Advancements in Valve Actuator Technologies for Offshore Platforms and Subsea Installations: A Technical Review</w:t>
      </w:r>
    </w:p>
    <w:p>
      <w:pPr>
        <w:spacing w:after="80" w:before="80"/>
      </w:pPr>
      <w:r>
        <w:t xml:space="preserve"/>
      </w:r>
    </w:p>
    <w:p>
      <w:pPr>
        <w:spacing w:after="60" w:before="0"/>
        <w:jc w:val="center"/>
      </w:pPr>
      <w:r>
        <w:rPr>
          <w:rFonts w:ascii="Times New Roman" w:cs="Times New Roman" w:eastAsia="Times New Roman" w:hAnsi="Times New Roman"/>
          <w:b/>
          <w:bCs/>
          <w:sz w:val="24"/>
          <w:szCs w:val="24"/>
        </w:rPr>
        <w:t xml:space="preserve">Naufal Bagas Ganefriady</w:t>
      </w:r>
    </w:p>
    <w:p>
      <w:pPr>
        <w:spacing w:after="60" w:before="0"/>
        <w:jc w:val="center"/>
      </w:pPr>
      <w:r>
        <w:rPr>
          <w:rFonts w:ascii="Times New Roman" w:cs="Times New Roman" w:eastAsia="Times New Roman" w:hAnsi="Times New Roman"/>
          <w:i/>
          <w:iCs/>
          <w:sz w:val="24"/>
          <w:szCs w:val="24"/>
        </w:rPr>
        <w:t xml:space="preserve">Electronics and Instrumentation Program, Department of Computer Science and Electronics</w:t>
      </w:r>
    </w:p>
    <w:p>
      <w:pPr>
        <w:spacing w:after="60" w:before="0"/>
        <w:jc w:val="center"/>
      </w:pPr>
      <w:r>
        <w:rPr>
          <w:rFonts w:ascii="Times New Roman" w:cs="Times New Roman" w:eastAsia="Times New Roman" w:hAnsi="Times New Roman"/>
          <w:i/>
          <w:iCs/>
          <w:sz w:val="24"/>
          <w:szCs w:val="24"/>
        </w:rPr>
        <w:t xml:space="preserve">Universitas Gadjah Mada, Yogyakarta, Indonesia</w:t>
      </w:r>
    </w:p>
    <w:p>
      <w:pPr>
        <w:spacing w:after="160" w:before="0"/>
        <w:jc w:val="center"/>
      </w:pPr>
      <w:r>
        <w:rPr>
          <w:rFonts w:ascii="Times New Roman" w:cs="Times New Roman" w:eastAsia="Times New Roman" w:hAnsi="Times New Roman"/>
          <w:sz w:val="24"/>
          <w:szCs w:val="24"/>
        </w:rPr>
        <w:t xml:space="preserve">naufalbagasganefriady@mail.ugm.ac.id</w:t>
      </w:r>
    </w:p>
    <w:p>
      <w:pPr>
        <w:pBdr>
          <w:bottom w:val="single" w:color="000000" w:sz="6" w:space="1"/>
        </w:pBdr>
        <w:spacing w:after="120" w:before="120"/>
      </w:pPr>
      <w:r>
        <w:t xml:space="preserve"/>
      </w:r>
    </w:p>
    <w:p>
      <w:pPr>
        <w:spacing w:after="80" w:before="0"/>
        <w:jc w:val="center"/>
      </w:pPr>
      <w:r>
        <w:rPr>
          <w:rFonts w:ascii="Times New Roman" w:cs="Times New Roman" w:eastAsia="Times New Roman" w:hAnsi="Times New Roman"/>
          <w:b/>
          <w:bCs/>
          <w:i/>
          <w:iCs/>
          <w:sz w:val="24"/>
          <w:szCs w:val="24"/>
        </w:rPr>
        <w:t xml:space="preserve">Abstract</w:t>
      </w:r>
    </w:p>
    <w:p>
      <w:pPr>
        <w:spacing w:after="80" w:before="0" w:line="276"/>
        <w:ind w:left="360" w:right="360"/>
        <w:jc w:val="both"/>
      </w:pPr>
      <w:r>
        <w:rPr>
          <w:rFonts w:ascii="Times New Roman" w:cs="Times New Roman" w:eastAsia="Times New Roman" w:hAnsi="Times New Roman"/>
          <w:sz w:val="22"/>
          <w:szCs w:val="22"/>
        </w:rPr>
        <w:t xml:space="preserve">This paper presents a comprehensive technical review of recent advancements in valve actuator technologies as applied to offshore platforms and subsea installations within the oil and gas industry. The study adopts a descriptive-analytical approach, synthesizing key technological developments that have emerged in response to the post-2015 industry downturn, which necessitated significant cost reductions and improvements in operational efficiency. The review examines four principal actuator types—hydraulic, pneumatic, electric, and electro-hydraulic—with particular emphasis on their suitability under extreme subsea conditions characterized by high hydrostatic pressure, low temperature, corrosive marine environments, and inaccessibility for routine maintenance. Key advancements discussed include the growing adoption of electric actuators in deep-water applications owing to their compact form factor and compatibility with remote monitoring systems, the integration of Industrial Internet of Things (IIoT) platforms enabling real-time diagnostics and predictive maintenance, the transition from natural-gas pneumatic actuators to environmentally superior electric alternatives, and the expanded deployment of High Integrity Pressure Protection Systems (HIPPS) alongside Safety Instrumented Systems (SIS). The engineering implications of actuator torque output, fluid power characteristics, and pressure tolerance are evaluated using standard analytical formulations. Results indicate that electric actuators present the most favorable profile for subsea and IIoT-integrated deployments, while hydraulic systems retain advantages in applications requiring very high torque at depth. The paper concludes by identifying future research directions including smart actuator architectures, artificial intelligence-based condition monitoring, and digital twin simulation frameworks.</w:t>
      </w:r>
    </w:p>
    <w:p>
      <w:pPr>
        <w:spacing w:after="80" w:before="60"/>
        <w:ind w:left="360" w:right="360"/>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i/>
          <w:iCs/>
          <w:sz w:val="22"/>
          <w:szCs w:val="22"/>
        </w:rPr>
        <w:t xml:space="preserve">—valve actuators; offshore platforms; subsea installations; electric actuators; IIoT; HIPPS; oil and gas automation.</w:t>
      </w:r>
    </w:p>
    <w:p>
      <w:pPr>
        <w:pBdr>
          <w:bottom w:val="single" w:color="000000" w:sz="6" w:space="1"/>
        </w:pBdr>
        <w:spacing w:after="120" w:before="120"/>
      </w:pPr>
      <w:r>
        <w:t xml:space="preserve"/>
      </w:r>
    </w:p>
    <w:p>
      <w:pPr>
        <w:spacing w:after="100" w:before="200"/>
        <w:jc w:val="left"/>
      </w:pPr>
      <w:r>
        <w:rPr>
          <w:rFonts w:ascii="Times New Roman" w:cs="Times New Roman" w:eastAsia="Times New Roman" w:hAnsi="Times New Roman"/>
          <w:b/>
          <w:bCs/>
          <w:caps/>
          <w:sz w:val="24"/>
          <w:szCs w:val="24"/>
        </w:rPr>
        <w:t xml:space="preserve">I.  Introduction</w:t>
      </w:r>
    </w:p>
    <w:p>
      <w:pPr>
        <w:spacing w:after="140" w:before="0" w:line="276"/>
        <w:jc w:val="both"/>
      </w:pPr>
      <w:r>
        <w:rPr>
          <w:rFonts w:ascii="Times New Roman" w:cs="Times New Roman" w:eastAsia="Times New Roman" w:hAnsi="Times New Roman"/>
          <w:sz w:val="24"/>
          <w:szCs w:val="24"/>
        </w:rPr>
        <w:t xml:space="preserve">Offshore oil and gas production represents one of the most technically demanding domains in modern industrial engineering. Platforms operating in open seas and subsea installations deployed at depths exceeding several hundred meters must sustain continuous, reliable operation under conditions of extreme hydrostatic pressure, corrosive saltwater exposure, wide thermal gradients, and near-complete inaccessibility for direct human intervention. Within these complex systems, valve actuators occupy a foundational role: they govern the controlled movement of valves that regulate the flow of hydrocarbons, injection fluids, and process gases throughout topsides and subsea process networks.</w:t>
      </w:r>
    </w:p>
    <w:p>
      <w:pPr>
        <w:spacing w:after="140" w:before="0" w:line="276"/>
        <w:jc w:val="both"/>
      </w:pPr>
      <w:r>
        <w:rPr>
          <w:rFonts w:ascii="Times New Roman" w:cs="Times New Roman" w:eastAsia="Times New Roman" w:hAnsi="Times New Roman"/>
          <w:sz w:val="24"/>
          <w:szCs w:val="24"/>
        </w:rPr>
        <w:t xml:space="preserve">A valve actuator is a mechanical device that converts an energy input—whether pneumatic, hydraulic, or electrical—into the mechanical motion necessary to open, close, or modulate a process valve. In conventional onshore or topside applications, actuator selection is driven primarily by cost, torque requirements, and control precision. However, in offshore and subsea contexts, the design criteria expand considerably to include depth rating, corrosion resistance, fail-safe behaviour, explosion-proof certification, and remote operability. The failure of a single actuated valve in a subsea blowout preventer stack or a high-pressure pipeline isolation system can have catastrophic safety and environmental consequences.</w:t>
      </w:r>
    </w:p>
    <w:p>
      <w:pPr>
        <w:spacing w:after="140" w:before="0" w:line="276"/>
        <w:jc w:val="both"/>
      </w:pPr>
      <w:r>
        <w:rPr>
          <w:rFonts w:ascii="Times New Roman" w:cs="Times New Roman" w:eastAsia="Times New Roman" w:hAnsi="Times New Roman"/>
          <w:sz w:val="24"/>
          <w:szCs w:val="24"/>
        </w:rPr>
        <w:t xml:space="preserve">The structural and economic importance of actuator technology was brought into sharp relief by the 2015 oil price collapse. Crude oil prices fell from above USD 100 per barrel in mid-2014 to below USD 40 per barrel by late 2015, driven by an oversupply of global crude, a contraction of demand in key Asian markets, and the rapid expansion of U.S. shale production. The resulting industry-wide cost reduction programmes forced operators and equipment manufacturers to re-evaluate capital expenditure on subsea infrastructure, accelerating the development of actuator technologies that offer reduced footprint, lower total cost of ownership, and seamless integration with digital control architectures.</w:t>
      </w:r>
    </w:p>
    <w:p>
      <w:pPr>
        <w:spacing w:after="140" w:before="0" w:line="276"/>
        <w:jc w:val="both"/>
      </w:pPr>
      <w:r>
        <w:rPr>
          <w:rFonts w:ascii="Times New Roman" w:cs="Times New Roman" w:eastAsia="Times New Roman" w:hAnsi="Times New Roman"/>
          <w:sz w:val="24"/>
          <w:szCs w:val="24"/>
        </w:rPr>
        <w:t xml:space="preserve">This paper reviews the principal advancements in valve actuator technology for offshore and subsea applications. The objectives of the study are: (i) to characterise the operating environment and its implications for actuator design; (ii) to compare the four dominant actuator types in terms of performance metrics relevant to subsea deployment; (iii) to evaluate recent technological improvements including IIoT integration, HIPPS adoption, and the environmental transition away from natural-gas pneumatic systems; and (iv) to identify the engineering trade-offs that guide actuator selection in real-world offshore projects.</w:t>
      </w:r>
    </w:p>
    <w:p>
      <w:pPr>
        <w:spacing w:after="100" w:before="200"/>
        <w:jc w:val="left"/>
      </w:pPr>
      <w:r>
        <w:rPr>
          <w:rFonts w:ascii="Times New Roman" w:cs="Times New Roman" w:eastAsia="Times New Roman" w:hAnsi="Times New Roman"/>
          <w:b/>
          <w:bCs/>
          <w:caps/>
          <w:sz w:val="24"/>
          <w:szCs w:val="24"/>
        </w:rPr>
        <w:t xml:space="preserve">II.  Research Gap and Contributions</w:t>
      </w:r>
    </w:p>
    <w:p>
      <w:pPr>
        <w:spacing w:after="140" w:before="0" w:line="276"/>
        <w:jc w:val="both"/>
      </w:pPr>
      <w:r>
        <w:rPr>
          <w:rFonts w:ascii="Times New Roman" w:cs="Times New Roman" w:eastAsia="Times New Roman" w:hAnsi="Times New Roman"/>
          <w:sz w:val="24"/>
          <w:szCs w:val="24"/>
        </w:rPr>
        <w:t xml:space="preserve">Conventional valve actuator systems deployed in upstream oil and gas applications were, until the early 2010s, dominated by hydraulic and gas-over-oil designs. While these technologies offered proven reliability and high torque density, they presented several well-documented limitations when applied at deep-water and remote locations. Hydraulic systems require extensive subsea distribution manifolds, high-pressure umbilical lines, and dedicated topside hydraulic power units, all of which contribute to system weight, complexity, and intervention cost. Natural-gas pneumatic actuators—widely used in onshore and shallow-water applications—vent controlled volumes of process gas to atmosphere during each actuation cycle, constituting a direct source of methane emissions, a potent greenhouse gas.</w:t>
      </w:r>
    </w:p>
    <w:p>
      <w:pPr>
        <w:spacing w:after="140" w:before="0" w:line="276"/>
        <w:jc w:val="both"/>
      </w:pPr>
      <w:r>
        <w:rPr>
          <w:rFonts w:ascii="Times New Roman" w:cs="Times New Roman" w:eastAsia="Times New Roman" w:hAnsi="Times New Roman"/>
          <w:sz w:val="24"/>
          <w:szCs w:val="24"/>
        </w:rPr>
        <w:t xml:space="preserve">Furthermore, legacy actuator designs provided minimal diagnostic capability. Operators had limited visibility into actuator health parameters such as stem torque profiles, seal integrity, or motor current draw, making predictive maintenance difficult and unplanned shutdowns costly. The integration of these actuators with supervisory control and data acquisition (SCADA) systems was often limited to binary open/closed position feedback.</w:t>
      </w:r>
    </w:p>
    <w:p>
      <w:pPr>
        <w:spacing w:after="140" w:before="0" w:line="276"/>
        <w:jc w:val="both"/>
      </w:pPr>
      <w:r>
        <w:rPr>
          <w:rFonts w:ascii="Times New Roman" w:cs="Times New Roman" w:eastAsia="Times New Roman" w:hAnsi="Times New Roman"/>
          <w:sz w:val="24"/>
          <w:szCs w:val="24"/>
        </w:rPr>
        <w:t xml:space="preserve">The technological gap identified by this review is therefore characterised by three interconnected deficiencies: (a) inadequate environmental sustainability of pneumatic actuator systems, (b) insufficient diagnostic transparency and IIoT compatibility of existing actuator platforms, and (c) limited adaptability of conventional hydraulic architectures to ultra-deep subsea environments where space, weight, and umbilical complexity impose severe constraints.</w:t>
      </w:r>
    </w:p>
    <w:p>
      <w:pPr>
        <w:spacing w:after="140" w:before="0" w:line="276"/>
        <w:jc w:val="both"/>
      </w:pPr>
      <w:r>
        <w:rPr>
          <w:rFonts w:ascii="Times New Roman" w:cs="Times New Roman" w:eastAsia="Times New Roman" w:hAnsi="Times New Roman"/>
          <w:sz w:val="24"/>
          <w:szCs w:val="24"/>
        </w:rPr>
        <w:t xml:space="preserve">The contributions of this paper lie in its systematic evaluation of how recent actuator innovations address each of these gaps. Specific contributions include the articulation of the engineering case for electric actuator adoption in subsea contexts, the analysis of safety system integration through HIPPS and SIS frameworks, and the quantification of performance trade-offs across actuator technologies using standard engineering formulations.</w:t>
      </w:r>
    </w:p>
    <w:p>
      <w:pPr>
        <w:spacing w:after="100" w:before="200"/>
        <w:jc w:val="left"/>
      </w:pPr>
      <w:r>
        <w:rPr>
          <w:rFonts w:ascii="Times New Roman" w:cs="Times New Roman" w:eastAsia="Times New Roman" w:hAnsi="Times New Roman"/>
          <w:b/>
          <w:bCs/>
          <w:caps/>
          <w:sz w:val="24"/>
          <w:szCs w:val="24"/>
        </w:rPr>
        <w:t xml:space="preserve">III.  Technical Overview and Methodology</w:t>
      </w:r>
    </w:p>
    <w:p>
      <w:pPr>
        <w:spacing w:after="80" w:before="140"/>
        <w:jc w:val="left"/>
      </w:pPr>
      <w:r>
        <w:rPr>
          <w:rFonts w:ascii="Times New Roman" w:cs="Times New Roman" w:eastAsia="Times New Roman" w:hAnsi="Times New Roman"/>
          <w:b/>
          <w:bCs/>
          <w:i/>
          <w:iCs/>
          <w:sz w:val="24"/>
          <w:szCs w:val="24"/>
        </w:rPr>
        <w:t xml:space="preserve">A. Fundamental Operating Principle</w:t>
      </w:r>
    </w:p>
    <w:p>
      <w:pPr>
        <w:spacing w:after="140" w:before="0" w:line="276"/>
        <w:jc w:val="both"/>
      </w:pPr>
      <w:r>
        <w:rPr>
          <w:rFonts w:ascii="Times New Roman" w:cs="Times New Roman" w:eastAsia="Times New Roman" w:hAnsi="Times New Roman"/>
          <w:sz w:val="24"/>
          <w:szCs w:val="24"/>
        </w:rPr>
        <w:t xml:space="preserve">Regardless of the energy source employed, all valve actuators follow a common operational sequence. An energy input is received by the actuator from a pneumatic supply line, hydraulic circuit, or electrical power source. This energy is converted by the actuator mechanism into mechanical motion. For quarter-turn valve types—such as ball valves and butterfly valves—the actuator produces a rotary output of 90 degrees. For linear valve types—such as gate valves and globe valves—the actuator produces a translational output, driving the valve stem upward or downward along its axis. The resulting valve position modulates fluid flow rate or isolates process sections in accordance with control signals received from a distributed control system (DCS) or safety instrumented system (SIS).</w:t>
      </w:r>
    </w:p>
    <w:p>
      <w:pPr>
        <w:spacing w:after="140" w:before="0" w:line="276"/>
        <w:jc w:val="both"/>
      </w:pPr>
      <w:r>
        <w:rPr>
          <w:rFonts w:ascii="Times New Roman" w:cs="Times New Roman" w:eastAsia="Times New Roman" w:hAnsi="Times New Roman"/>
          <w:sz w:val="24"/>
          <w:szCs w:val="24"/>
        </w:rPr>
        <w:t xml:space="preserve">The torque required to operate a valve under process conditions is a critical design parameter. For a rotary actuator driving a quarter-turn valve, the required torque T is given by:</w:t>
      </w:r>
    </w:p>
    <w:p>
      <w:pPr>
        <w:spacing w:after="120" w:before="120"/>
        <w:jc w:val="center"/>
      </w:pPr>
      <w:r>
        <w:rPr>
          <w:rFonts w:ascii="Times New Roman" w:cs="Times New Roman" w:eastAsia="Times New Roman" w:hAnsi="Times New Roman"/>
          <w:i/>
          <w:iCs/>
          <w:sz w:val="24"/>
          <w:szCs w:val="24"/>
        </w:rPr>
        <w:t xml:space="preserve">T = F × r  [N·m]</w:t>
      </w:r>
    </w:p>
    <w:p>
      <w:pPr>
        <w:spacing w:after="140" w:before="0" w:line="276"/>
        <w:jc w:val="both"/>
      </w:pPr>
      <w:r>
        <w:rPr>
          <w:rFonts w:ascii="Times New Roman" w:cs="Times New Roman" w:eastAsia="Times New Roman" w:hAnsi="Times New Roman"/>
          <w:sz w:val="24"/>
          <w:szCs w:val="24"/>
        </w:rPr>
        <w:t xml:space="preserve">where F is the actuating force (N) and r is the effective moment arm (m). For a hydraulic or pneumatic actuator, the actuating force is derived from the pressure applied across the actuator piston:</w:t>
      </w:r>
    </w:p>
    <w:p>
      <w:pPr>
        <w:spacing w:after="120" w:before="120"/>
        <w:jc w:val="center"/>
      </w:pPr>
      <w:r>
        <w:rPr>
          <w:rFonts w:ascii="Times New Roman" w:cs="Times New Roman" w:eastAsia="Times New Roman" w:hAnsi="Times New Roman"/>
          <w:i/>
          <w:iCs/>
          <w:sz w:val="24"/>
          <w:szCs w:val="24"/>
        </w:rPr>
        <w:t xml:space="preserve">F = P × A  [N]</w:t>
      </w:r>
    </w:p>
    <w:p>
      <w:pPr>
        <w:spacing w:after="140" w:before="0" w:line="276"/>
        <w:jc w:val="both"/>
      </w:pPr>
      <w:r>
        <w:rPr>
          <w:rFonts w:ascii="Times New Roman" w:cs="Times New Roman" w:eastAsia="Times New Roman" w:hAnsi="Times New Roman"/>
          <w:sz w:val="24"/>
          <w:szCs w:val="24"/>
        </w:rPr>
        <w:t xml:space="preserve">where P is the supply pressure (Pa) and A is the effective piston area (m²). The hydraulic power delivered to the actuator is:</w:t>
      </w:r>
    </w:p>
    <w:p>
      <w:pPr>
        <w:spacing w:after="120" w:before="120"/>
        <w:jc w:val="center"/>
      </w:pPr>
      <w:r>
        <w:rPr>
          <w:rFonts w:ascii="Times New Roman" w:cs="Times New Roman" w:eastAsia="Times New Roman" w:hAnsi="Times New Roman"/>
          <w:i/>
          <w:iCs/>
          <w:sz w:val="24"/>
          <w:szCs w:val="24"/>
        </w:rPr>
        <w:t xml:space="preserve">P_hyd = Q × ΔP  [W]</w:t>
      </w:r>
    </w:p>
    <w:p>
      <w:pPr>
        <w:spacing w:after="140" w:before="0" w:line="276"/>
        <w:jc w:val="both"/>
      </w:pPr>
      <w:r>
        <w:rPr>
          <w:rFonts w:ascii="Times New Roman" w:cs="Times New Roman" w:eastAsia="Times New Roman" w:hAnsi="Times New Roman"/>
          <w:sz w:val="24"/>
          <w:szCs w:val="24"/>
        </w:rPr>
        <w:t xml:space="preserve">where Q is the volumetric flow rate of the hydraulic fluid (m³/s) and ΔP is the differential pressure across the actuator (Pa). For an electric actuator driven by a DC or AC motor, the mechanical output power is:</w:t>
      </w:r>
    </w:p>
    <w:p>
      <w:pPr>
        <w:spacing w:after="120" w:before="120"/>
        <w:jc w:val="center"/>
      </w:pPr>
      <w:r>
        <w:rPr>
          <w:rFonts w:ascii="Times New Roman" w:cs="Times New Roman" w:eastAsia="Times New Roman" w:hAnsi="Times New Roman"/>
          <w:i/>
          <w:iCs/>
          <w:sz w:val="24"/>
          <w:szCs w:val="24"/>
        </w:rPr>
        <w:t xml:space="preserve">P_mech = τ × ω  [W]</w:t>
      </w:r>
    </w:p>
    <w:p>
      <w:pPr>
        <w:spacing w:after="140" w:before="0" w:line="276"/>
        <w:jc w:val="both"/>
      </w:pPr>
      <w:r>
        <w:rPr>
          <w:rFonts w:ascii="Times New Roman" w:cs="Times New Roman" w:eastAsia="Times New Roman" w:hAnsi="Times New Roman"/>
          <w:sz w:val="24"/>
          <w:szCs w:val="24"/>
        </w:rPr>
        <w:t xml:space="preserve">where τ is the output torque (N·m) and ω is the angular velocity of the output shaft (rad/s). The overall actuator efficiency η relates input power to mechanical output:</w:t>
      </w:r>
    </w:p>
    <w:p>
      <w:pPr>
        <w:spacing w:after="120" w:before="120"/>
        <w:jc w:val="center"/>
      </w:pPr>
      <w:r>
        <w:rPr>
          <w:rFonts w:ascii="Times New Roman" w:cs="Times New Roman" w:eastAsia="Times New Roman" w:hAnsi="Times New Roman"/>
          <w:i/>
          <w:iCs/>
          <w:sz w:val="24"/>
          <w:szCs w:val="24"/>
        </w:rPr>
        <w:t xml:space="preserve">η = P_mech / P_input</w:t>
      </w:r>
    </w:p>
    <w:p>
      <w:pPr>
        <w:spacing w:after="140" w:before="0" w:line="276"/>
        <w:jc w:val="both"/>
      </w:pPr>
      <w:r>
        <w:rPr>
          <w:rFonts w:ascii="Times New Roman" w:cs="Times New Roman" w:eastAsia="Times New Roman" w:hAnsi="Times New Roman"/>
          <w:sz w:val="24"/>
          <w:szCs w:val="24"/>
        </w:rPr>
        <w:t xml:space="preserve">These relationships underpin the comparative performance analysis presented in Section VI.</w:t>
      </w:r>
    </w:p>
    <w:p>
      <w:pPr>
        <w:spacing w:after="80" w:before="140"/>
        <w:jc w:val="left"/>
      </w:pPr>
      <w:r>
        <w:rPr>
          <w:rFonts w:ascii="Times New Roman" w:cs="Times New Roman" w:eastAsia="Times New Roman" w:hAnsi="Times New Roman"/>
          <w:b/>
          <w:bCs/>
          <w:i/>
          <w:iCs/>
          <w:sz w:val="24"/>
          <w:szCs w:val="24"/>
        </w:rPr>
        <w:t xml:space="preserve">B. Hydraulic Actuators</w:t>
      </w:r>
    </w:p>
    <w:p>
      <w:pPr>
        <w:spacing w:after="140" w:before="0" w:line="276"/>
        <w:jc w:val="both"/>
      </w:pPr>
      <w:r>
        <w:rPr>
          <w:rFonts w:ascii="Times New Roman" w:cs="Times New Roman" w:eastAsia="Times New Roman" w:hAnsi="Times New Roman"/>
          <w:sz w:val="24"/>
          <w:szCs w:val="24"/>
        </w:rPr>
        <w:t xml:space="preserve">Hydraulic actuators utilise pressurised hydraulic fluid—typically mineral oil or synthetic equivalents formulated for low-temperature subsea service—to generate high actuating forces. The hydraulic cylinder or vane mechanism converts fluid pressure into linear or rotary motion with very high force density. This makes hydraulic actuators well-suited to applications requiring large valve torques, such as the operation of large-bore subsea gate valves, choke valves, and wellhead isolation valves. Subsea hydraulic actuators are typically supplied via a hydraulic umbilical from a topside hydraulic power unit (HPU). Fail-safe operation is achieved through spring-return mechanisms or accumulators that maintain sufficient hydraulic pressure to drive the valve to a predetermined safe position upon loss of hydraulic supply.</w:t>
      </w:r>
    </w:p>
    <w:p>
      <w:pPr>
        <w:spacing w:after="140" w:before="0" w:line="276"/>
        <w:jc w:val="both"/>
      </w:pPr>
      <w:r>
        <w:rPr>
          <w:rFonts w:ascii="Times New Roman" w:cs="Times New Roman" w:eastAsia="Times New Roman" w:hAnsi="Times New Roman"/>
          <w:sz w:val="24"/>
          <w:szCs w:val="24"/>
        </w:rPr>
        <w:t xml:space="preserve">Design considerations for subsea hydraulic actuators include pressure compensation to equalise internal actuator pressure with ambient hydrostatic pressure, corrosion-resistant materials such as duplex stainless steel and nickel-aluminium bronze for wetted components, and high-integrity sealing systems rated for the full design depth. The primary limitations are the length and complexity of the hydraulic umbilical, the need for topside HPU maintenance, and the risk of hydraulic fluid leakage into the marine environment.</w:t>
      </w:r>
    </w:p>
    <w:p>
      <w:pPr>
        <w:spacing w:after="80" w:before="140"/>
        <w:jc w:val="left"/>
      </w:pPr>
      <w:r>
        <w:rPr>
          <w:rFonts w:ascii="Times New Roman" w:cs="Times New Roman" w:eastAsia="Times New Roman" w:hAnsi="Times New Roman"/>
          <w:b/>
          <w:bCs/>
          <w:i/>
          <w:iCs/>
          <w:sz w:val="24"/>
          <w:szCs w:val="24"/>
        </w:rPr>
        <w:t xml:space="preserve">C. Pneumatic Actuators</w:t>
      </w:r>
    </w:p>
    <w:p>
      <w:pPr>
        <w:spacing w:after="140" w:before="0" w:line="276"/>
        <w:jc w:val="both"/>
      </w:pPr>
      <w:r>
        <w:rPr>
          <w:rFonts w:ascii="Times New Roman" w:cs="Times New Roman" w:eastAsia="Times New Roman" w:hAnsi="Times New Roman"/>
          <w:sz w:val="24"/>
          <w:szCs w:val="24"/>
        </w:rPr>
        <w:t xml:space="preserve">Pneumatic actuators use compressed gas—conventionally instrument air or, in older onshore and shallow-water facilities, natural gas drawn directly from the process—as the driving medium. They are characterised by simplicity of construction, fast response times, and low unit cost. However, in subsea environments, the use of compressed air is impractical due to the logistics of maintaining a subsea compressed air supply, and the use of process gas is environmentally unacceptable due to direct methane venting. Consequently, pneumatic actuators are largely confined to topside applications on offshore platforms, where instrument air is available from dedicated compressor packages. The environmental liability of natural-gas pneumatic actuators has become a focus of regulatory attention, and many operators are actively replacing them with electric alternatives as part of emissions reduction commitments.</w:t>
      </w:r>
    </w:p>
    <w:p>
      <w:pPr>
        <w:spacing w:after="80" w:before="140"/>
        <w:jc w:val="left"/>
      </w:pPr>
      <w:r>
        <w:rPr>
          <w:rFonts w:ascii="Times New Roman" w:cs="Times New Roman" w:eastAsia="Times New Roman" w:hAnsi="Times New Roman"/>
          <w:b/>
          <w:bCs/>
          <w:i/>
          <w:iCs/>
          <w:sz w:val="24"/>
          <w:szCs w:val="24"/>
        </w:rPr>
        <w:t xml:space="preserve">D. Electric Actuators</w:t>
      </w:r>
    </w:p>
    <w:p>
      <w:pPr>
        <w:spacing w:after="140" w:before="0" w:line="276"/>
        <w:jc w:val="both"/>
      </w:pPr>
      <w:r>
        <w:rPr>
          <w:rFonts w:ascii="Times New Roman" w:cs="Times New Roman" w:eastAsia="Times New Roman" w:hAnsi="Times New Roman"/>
          <w:sz w:val="24"/>
          <w:szCs w:val="24"/>
        </w:rPr>
        <w:t xml:space="preserve">Electric actuators convert electrical energy into mechanical motion via an electric motor—typically a brushless DC or three-phase AC induction motor—coupled to a gear train that provides the torque multiplication necessary to operate process valves. In subsea applications, the actuator assembly is housed within a pressure-compensated, seawater-resistant enclosure. Electric actuators offer several attributes that are particularly advantageous for deep-water and remote deployments. Their compact form factor and self-contained power supply via a subsea power distribution system or umbilical power cable eliminate the need for a dedicated hydraulic circuit. They are inherently compatible with digital communication protocols, enabling real-time feedback of position, torque, motor current, and temperature data to the surface control system. The absence of hydraulic fluid circuits removes the risk of subsea hydrocarbon contamination. Furthermore, the integration of non-intrusive, battery-backed commissioning and data logging functions allows actuator performance to be characterised and benchmarked over time without physical intervention.</w:t>
      </w:r>
    </w:p>
    <w:p>
      <w:pPr>
        <w:spacing w:after="140" w:before="0" w:line="276"/>
        <w:jc w:val="both"/>
      </w:pPr>
      <w:r>
        <w:rPr>
          <w:rFonts w:ascii="Times New Roman" w:cs="Times New Roman" w:eastAsia="Times New Roman" w:hAnsi="Times New Roman"/>
          <w:sz w:val="24"/>
          <w:szCs w:val="24"/>
        </w:rPr>
        <w:t xml:space="preserve">For offshore topsides applications in classified hazardous areas, electric actuators must be installed within explosion-proof enclosures conforming to IEC 60079 series standards. Modern explosion-proof electric actuator designs achieve this while maintaining the full suite of digital diagnostic capabilities, making them equally applicable to topsides and subsea deployments.</w:t>
      </w:r>
    </w:p>
    <w:p>
      <w:pPr>
        <w:spacing w:after="80" w:before="140"/>
        <w:jc w:val="left"/>
      </w:pPr>
      <w:r>
        <w:rPr>
          <w:rFonts w:ascii="Times New Roman" w:cs="Times New Roman" w:eastAsia="Times New Roman" w:hAnsi="Times New Roman"/>
          <w:b/>
          <w:bCs/>
          <w:i/>
          <w:iCs/>
          <w:sz w:val="24"/>
          <w:szCs w:val="24"/>
        </w:rPr>
        <w:t xml:space="preserve">E. Electro-Hydraulic Actuators</w:t>
      </w:r>
    </w:p>
    <w:p>
      <w:pPr>
        <w:spacing w:after="140" w:before="0" w:line="276"/>
        <w:jc w:val="both"/>
      </w:pPr>
      <w:r>
        <w:rPr>
          <w:rFonts w:ascii="Times New Roman" w:cs="Times New Roman" w:eastAsia="Times New Roman" w:hAnsi="Times New Roman"/>
          <w:sz w:val="24"/>
          <w:szCs w:val="24"/>
        </w:rPr>
        <w:t xml:space="preserve">Electro-hydraulic actuators combine an integral electric motor-driven hydraulic pump with a self-contained hydraulic cylinder within a single, compact unit. This architecture eliminates the need for a remote HPU and long hydraulic lines while preserving the high force density advantages of hydraulic actuation. The system is controlled electrically, with the local hydraulic circuit providing the mechanical power to the valve stem. Electro-hydraulic actuators are well-suited to applications where high torque is required but electrical infrastructure is available and hydraulic umbilicals are impractical. They represent a pragmatic intermediate technology between fully hydraulic and fully electric systems.</w:t>
      </w:r>
    </w:p>
    <w:p>
      <w:pPr>
        <w:spacing w:after="80" w:before="140"/>
        <w:jc w:val="left"/>
      </w:pPr>
      <w:r>
        <w:rPr>
          <w:rFonts w:ascii="Times New Roman" w:cs="Times New Roman" w:eastAsia="Times New Roman" w:hAnsi="Times New Roman"/>
          <w:b/>
          <w:bCs/>
          <w:i/>
          <w:iCs/>
          <w:sz w:val="24"/>
          <w:szCs w:val="24"/>
        </w:rPr>
        <w:t xml:space="preserve">F. Control Systems and Automation</w:t>
      </w:r>
    </w:p>
    <w:p>
      <w:pPr>
        <w:spacing w:after="140" w:before="0" w:line="276"/>
        <w:jc w:val="both"/>
      </w:pPr>
      <w:r>
        <w:rPr>
          <w:rFonts w:ascii="Times New Roman" w:cs="Times New Roman" w:eastAsia="Times New Roman" w:hAnsi="Times New Roman"/>
          <w:sz w:val="24"/>
          <w:szCs w:val="24"/>
        </w:rPr>
        <w:t xml:space="preserve">Modern valve actuator installations on offshore platforms and subsea systems are integrated into hierarchical automation architectures. At the field level, actuators receive commands from local actuator controllers that implement position control loops and monitor actuator health parameters. These local controllers communicate with subsea control modules (SCMs) or topsides DCS/SCADA systems via standard industrial communication protocols. Safety-critical valve functions are governed by SIS platforms conforming to IEC 61511, which define the required Safety Integrity Level (SIL) for each safety function. HIPPS, which provide fast-acting overpressure protection by rapidly closing isolation valves upon detection of a high-pressure event, are a particularly demanding application of actuated valve technology, requiring sub-second response times and SIL 2 or SIL 3 certified actuator assemblies. IIoT integration extends the data available to control system operators by aggregating actuator diagnostic data, enabling condition-based maintenance strategies and reducing the frequency of costly subsea intervention operations.</w:t>
      </w:r>
    </w:p>
    <w:p>
      <w:pPr>
        <w:spacing w:after="100" w:before="200"/>
        <w:jc w:val="left"/>
      </w:pPr>
      <w:r>
        <w:rPr>
          <w:rFonts w:ascii="Times New Roman" w:cs="Times New Roman" w:eastAsia="Times New Roman" w:hAnsi="Times New Roman"/>
          <w:b/>
          <w:bCs/>
          <w:caps/>
          <w:sz w:val="24"/>
          <w:szCs w:val="24"/>
        </w:rPr>
        <w:t xml:space="preserve">IV.  Performance Evaluation and Engineering Considerations</w:t>
      </w:r>
    </w:p>
    <w:p>
      <w:pPr>
        <w:spacing w:after="80" w:before="140"/>
        <w:jc w:val="left"/>
      </w:pPr>
      <w:r>
        <w:rPr>
          <w:rFonts w:ascii="Times New Roman" w:cs="Times New Roman" w:eastAsia="Times New Roman" w:hAnsi="Times New Roman"/>
          <w:b/>
          <w:bCs/>
          <w:i/>
          <w:iCs/>
          <w:sz w:val="24"/>
          <w:szCs w:val="24"/>
        </w:rPr>
        <w:t xml:space="preserve">A. Reliability</w:t>
      </w:r>
    </w:p>
    <w:p>
      <w:pPr>
        <w:spacing w:after="140" w:before="0" w:line="276"/>
        <w:jc w:val="both"/>
      </w:pPr>
      <w:r>
        <w:rPr>
          <w:rFonts w:ascii="Times New Roman" w:cs="Times New Roman" w:eastAsia="Times New Roman" w:hAnsi="Times New Roman"/>
          <w:sz w:val="24"/>
          <w:szCs w:val="24"/>
        </w:rPr>
        <w:t xml:space="preserve">Reliability is the primary performance criterion for subsea valve actuators, given the cost and operational impact of an unplanned subsea intervention. Reliability is quantified using the mean time between failures (MTBF) and the probability of failure on demand (PFD), the latter being the key metric for SIS applications. Electric actuators, with their sealed and pressure-compensated electronics, have demonstrated increasingly competitive MTBF values relative to hydraulic systems as subsea electric actuation technology has matured. The elimination of hydraulic fluid circuits removes a historically significant failure mode—seal degradation and fluid contamination—that has been associated with subsea hydraulic actuator failures.</w:t>
      </w:r>
    </w:p>
    <w:p>
      <w:pPr>
        <w:spacing w:after="80" w:before="140"/>
        <w:jc w:val="left"/>
      </w:pPr>
      <w:r>
        <w:rPr>
          <w:rFonts w:ascii="Times New Roman" w:cs="Times New Roman" w:eastAsia="Times New Roman" w:hAnsi="Times New Roman"/>
          <w:b/>
          <w:bCs/>
          <w:i/>
          <w:iCs/>
          <w:sz w:val="24"/>
          <w:szCs w:val="24"/>
        </w:rPr>
        <w:t xml:space="preserve">B. Response Time</w:t>
      </w:r>
    </w:p>
    <w:p>
      <w:pPr>
        <w:spacing w:after="140" w:before="0" w:line="276"/>
        <w:jc w:val="both"/>
      </w:pPr>
      <w:r>
        <w:rPr>
          <w:rFonts w:ascii="Times New Roman" w:cs="Times New Roman" w:eastAsia="Times New Roman" w:hAnsi="Times New Roman"/>
          <w:sz w:val="24"/>
          <w:szCs w:val="24"/>
        </w:rPr>
        <w:t xml:space="preserve">Valve actuation speed is a critical parameter, particularly for emergency shutdown (ESD) and HIPPS applications. Hydraulic and pneumatic actuators typically achieve faster stroking times than electric actuators at equivalent valve sizes, owing to the high force density and rapid energy release characteristics of pressurised fluid systems. However, modern electric actuator designs incorporating high-speed motor controllers and optimised gear trains have substantially reduced this gap for valve sizes up to DN 300. For very large bore valves in high-pressure applications, hydraulic and electro-hydraulic systems continue to offer superior response performance.</w:t>
      </w:r>
    </w:p>
    <w:p>
      <w:pPr>
        <w:spacing w:after="80" w:before="140"/>
        <w:jc w:val="left"/>
      </w:pPr>
      <w:r>
        <w:rPr>
          <w:rFonts w:ascii="Times New Roman" w:cs="Times New Roman" w:eastAsia="Times New Roman" w:hAnsi="Times New Roman"/>
          <w:b/>
          <w:bCs/>
          <w:i/>
          <w:iCs/>
          <w:sz w:val="24"/>
          <w:szCs w:val="24"/>
        </w:rPr>
        <w:t xml:space="preserve">C. Power Consumption</w:t>
      </w:r>
    </w:p>
    <w:p>
      <w:pPr>
        <w:spacing w:after="140" w:before="0" w:line="276"/>
        <w:jc w:val="both"/>
      </w:pPr>
      <w:r>
        <w:rPr>
          <w:rFonts w:ascii="Times New Roman" w:cs="Times New Roman" w:eastAsia="Times New Roman" w:hAnsi="Times New Roman"/>
          <w:sz w:val="24"/>
          <w:szCs w:val="24"/>
        </w:rPr>
        <w:t xml:space="preserve">Electric actuators consume power only during the valve stroking operation and during standby monitoring functions, making their average power consumption relatively low. Hydraulic systems require continuous operation of the topside HPU to maintain system pressure, incurring a persistent power load regardless of actuator activity. The relative power efficiency advantage of electric actuators is particularly significant in remote or unmanned installations where power availability is constrained.</w:t>
      </w:r>
    </w:p>
    <w:p>
      <w:pPr>
        <w:spacing w:after="80" w:before="140"/>
        <w:jc w:val="left"/>
      </w:pPr>
      <w:r>
        <w:rPr>
          <w:rFonts w:ascii="Times New Roman" w:cs="Times New Roman" w:eastAsia="Times New Roman" w:hAnsi="Times New Roman"/>
          <w:b/>
          <w:bCs/>
          <w:i/>
          <w:iCs/>
          <w:sz w:val="24"/>
          <w:szCs w:val="24"/>
        </w:rPr>
        <w:t xml:space="preserve">D. Pressure and Depth Tolerance</w:t>
      </w:r>
    </w:p>
    <w:p>
      <w:pPr>
        <w:spacing w:after="140" w:before="0" w:line="276"/>
        <w:jc w:val="both"/>
      </w:pPr>
      <w:r>
        <w:rPr>
          <w:rFonts w:ascii="Times New Roman" w:cs="Times New Roman" w:eastAsia="Times New Roman" w:hAnsi="Times New Roman"/>
          <w:sz w:val="24"/>
          <w:szCs w:val="24"/>
        </w:rPr>
        <w:t xml:space="preserve">Subsea actuators must withstand ambient hydrostatic pressures that increase at a rate of approximately 0.1 MPa per 10 m of water depth. At a water depth of 3,000 m, the ambient pressure is approximately 30 MPa. Electric actuators designed for ultra-deep applications employ pressure-compensated housings in which an oil-filled compensation bladder maintains the internal actuator pressure slightly above ambient, preventing seawater ingress. This technology enables electric actuator operation at depths exceeding 3,000 m. Hydraulic actuators are inherently pressure-tolerant when appropriately designed, as their internal fluid pressure can be set above the ambient hydrostatic pressure.</w:t>
      </w:r>
    </w:p>
    <w:p>
      <w:pPr>
        <w:spacing w:after="80" w:before="140"/>
        <w:jc w:val="left"/>
      </w:pPr>
      <w:r>
        <w:rPr>
          <w:rFonts w:ascii="Times New Roman" w:cs="Times New Roman" w:eastAsia="Times New Roman" w:hAnsi="Times New Roman"/>
          <w:b/>
          <w:bCs/>
          <w:i/>
          <w:iCs/>
          <w:sz w:val="24"/>
          <w:szCs w:val="24"/>
        </w:rPr>
        <w:t xml:space="preserve">E. Environmental Resistance</w:t>
      </w:r>
    </w:p>
    <w:p>
      <w:pPr>
        <w:spacing w:after="140" w:before="0" w:line="276"/>
        <w:jc w:val="both"/>
      </w:pPr>
      <w:r>
        <w:rPr>
          <w:rFonts w:ascii="Times New Roman" w:cs="Times New Roman" w:eastAsia="Times New Roman" w:hAnsi="Times New Roman"/>
          <w:sz w:val="24"/>
          <w:szCs w:val="24"/>
        </w:rPr>
        <w:t xml:space="preserve">All subsea actuators must resist corrosion from continuous seawater exposure. Material selection typically involves the use of super-duplex stainless steel, titanium, or high-nickel alloys for structural components, with anodic protection systems applied to assembled modules. Connectors and cable penetrations are engineered to wet-mate standards, enabling connection and disconnection by remotely operated vehicles (ROVs) without draining or drying the connector interface. Thermal management is important in both deep cold water, where temperatures may approach 2–4 degrees Celsius, and in topsides tropical environments where ambient temperatures may exceed 45 degrees Celsius. Actuator lubricants, motor insulation systems, and electronic component ratings must be specified accordingly.</w:t>
      </w:r>
    </w:p>
    <w:p>
      <w:pPr>
        <w:spacing w:after="100" w:before="200"/>
        <w:jc w:val="left"/>
      </w:pPr>
      <w:r>
        <w:rPr>
          <w:rFonts w:ascii="Times New Roman" w:cs="Times New Roman" w:eastAsia="Times New Roman" w:hAnsi="Times New Roman"/>
          <w:b/>
          <w:bCs/>
          <w:caps/>
          <w:sz w:val="24"/>
          <w:szCs w:val="24"/>
        </w:rPr>
        <w:t xml:space="preserve">V.  Results and Discussion</w:t>
      </w:r>
    </w:p>
    <w:p>
      <w:pPr>
        <w:spacing w:after="80" w:before="140"/>
        <w:jc w:val="left"/>
      </w:pPr>
      <w:r>
        <w:rPr>
          <w:rFonts w:ascii="Times New Roman" w:cs="Times New Roman" w:eastAsia="Times New Roman" w:hAnsi="Times New Roman"/>
          <w:b/>
          <w:bCs/>
          <w:i/>
          <w:iCs/>
          <w:sz w:val="24"/>
          <w:szCs w:val="24"/>
        </w:rPr>
        <w:t xml:space="preserve">A. Comparative Technology Assessment</w:t>
      </w:r>
    </w:p>
    <w:p>
      <w:pPr>
        <w:spacing w:after="140" w:before="0" w:line="276"/>
        <w:jc w:val="both"/>
      </w:pPr>
      <w:r>
        <w:rPr>
          <w:rFonts w:ascii="Times New Roman" w:cs="Times New Roman" w:eastAsia="Times New Roman" w:hAnsi="Times New Roman"/>
          <w:sz w:val="24"/>
          <w:szCs w:val="24"/>
        </w:rPr>
        <w:t xml:space="preserve">The comparative analysis of the four principal actuator technologies reveals a clear differentiation in suitability profiles across the key performance dimensions relevant to offshore and subsea deployment. Table I summarises the qualitative engineering assessment derived from the technical review.</w:t>
      </w:r>
    </w:p>
    <w:p>
      <w:pPr>
        <w:spacing w:after="60" w:before="80"/>
      </w:pPr>
      <w:r>
        <w:t xml:space="preserve"/>
      </w:r>
    </w:p>
    <w:p>
      <w:pPr>
        <w:spacing w:after="60" w:before="0"/>
        <w:jc w:val="center"/>
      </w:pPr>
      <w:r>
        <w:rPr>
          <w:rFonts w:ascii="Times New Roman" w:cs="Times New Roman" w:eastAsia="Times New Roman" w:hAnsi="Times New Roman"/>
          <w:b/>
          <w:bCs/>
          <w:sz w:val="20"/>
          <w:szCs w:val="20"/>
        </w:rPr>
        <w:t xml:space="preserve">TABLE I</w:t>
      </w:r>
    </w:p>
    <w:p>
      <w:pPr>
        <w:spacing w:after="100" w:before="0"/>
        <w:jc w:val="center"/>
      </w:pPr>
      <w:r>
        <w:rPr>
          <w:rFonts w:ascii="Times New Roman" w:cs="Times New Roman" w:eastAsia="Times New Roman" w:hAnsi="Times New Roman"/>
          <w:i/>
          <w:iCs/>
          <w:sz w:val="20"/>
          <w:szCs w:val="20"/>
        </w:rPr>
        <w:t xml:space="preserve">Comparative Performance Assessment of Valve Actuator Technologies for Offshore/Subsea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560"/>
        <w:gridCol w:w="1560"/>
        <w:gridCol w:w="1560"/>
        <w:gridCol w:w="10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Parameter</w:t>
            </w:r>
          </w:p>
        </w:tc>
        <w:tc>
          <w:tcPr>
            <w:tcW w:type="dxa" w:w="168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Hydraulic</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Pneumatic</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Electric</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Electro-Hydraulic</w:t>
            </w:r>
          </w:p>
        </w:tc>
        <w:tc>
          <w:tcPr>
            <w:tcW w:type="dxa" w:w="1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Score*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Power Density</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Very High</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High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H&gt;EH&gt;P≈E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Subsea Suitability</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High</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Low</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Very High</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High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E&gt;H=EH&gt;&gt;P</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Emission Profile</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Low</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High (CH4)</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Zero</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Low</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E&gt;H=EH&gt;&gt;P</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IIoT Integration</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Limited</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Limited</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Full</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Moderate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E&gt;EH&gt;H=P</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Maintenance Cost</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High</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Low</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E&gt;P&gt;EH&gt;H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Torque Output</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Very High</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Moderate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High</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Very High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H≈EH&gt;E&gt;P</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Explosion-Proof</w:t>
            </w:r>
          </w:p>
        </w:tc>
        <w:tc>
          <w:tcPr>
            <w:tcW w:type="dxa" w:w="1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Inherent</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Inherent</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With enclosure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Inherent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H=P=EH&gt;E</w:t>
            </w:r>
          </w:p>
        </w:tc>
      </w:tr>
    </w:tbl>
    <w:p>
      <w:pPr>
        <w:spacing w:after="120" w:before="60"/>
        <w:jc w:val="left"/>
      </w:pPr>
      <w:r>
        <w:rPr>
          <w:rFonts w:ascii="Times New Roman" w:cs="Times New Roman" w:eastAsia="Times New Roman" w:hAnsi="Times New Roman"/>
          <w:i/>
          <w:iCs/>
          <w:sz w:val="18"/>
          <w:szCs w:val="18"/>
        </w:rPr>
        <w:t xml:space="preserve">* Relative ranking notation: &gt; denotes superior performance; ≈ denotes approximate parity. H = Hydraulic, P = Pneumatic, E = Electric, EH = Electro-Hydraulic.</w:t>
      </w:r>
    </w:p>
    <w:p>
      <w:pPr>
        <w:spacing w:after="140" w:before="0" w:line="276"/>
        <w:jc w:val="both"/>
      </w:pPr>
      <w:r>
        <w:rPr>
          <w:rFonts w:ascii="Times New Roman" w:cs="Times New Roman" w:eastAsia="Times New Roman" w:hAnsi="Times New Roman"/>
          <w:sz w:val="24"/>
          <w:szCs w:val="24"/>
        </w:rPr>
        <w:t xml:space="preserve">As demonstrated in Table I, electric actuators exhibit the most favourable profile for subsea suitability, emissions performance, IIoT integration, and long-term maintenance cost reduction. Hydraulic systems, conversely, retain a decisive advantage in raw torque output and are intrinsically suited to hazardous area classification without additional enclosure engineering. Pneumatic actuators, while well-established in topside applications, present significant environmental liabilities in their natural-gas-venting configuration and are essentially unsuitable for deep subsea deployment.</w:t>
      </w:r>
    </w:p>
    <w:p>
      <w:pPr>
        <w:spacing w:after="80" w:before="140"/>
        <w:jc w:val="left"/>
      </w:pPr>
      <w:r>
        <w:rPr>
          <w:rFonts w:ascii="Times New Roman" w:cs="Times New Roman" w:eastAsia="Times New Roman" w:hAnsi="Times New Roman"/>
          <w:b/>
          <w:bCs/>
          <w:i/>
          <w:iCs/>
          <w:sz w:val="24"/>
          <w:szCs w:val="24"/>
        </w:rPr>
        <w:t xml:space="preserve">B. Post-2015 Technology Drivers</w:t>
      </w:r>
    </w:p>
    <w:p>
      <w:pPr>
        <w:spacing w:after="140" w:before="0" w:line="276"/>
        <w:jc w:val="both"/>
      </w:pPr>
      <w:r>
        <w:rPr>
          <w:rFonts w:ascii="Times New Roman" w:cs="Times New Roman" w:eastAsia="Times New Roman" w:hAnsi="Times New Roman"/>
          <w:sz w:val="24"/>
          <w:szCs w:val="24"/>
        </w:rPr>
        <w:t xml:space="preserve">The post-2015 industry downturn acted as a forcing function for actuator technology innovation. With capital expenditure budgets severely constrained, operators demanded actuator solutions that reduced both the upfront installed cost and the ongoing operational expenditure. This economic pressure catalysed several converging technological developments. First, actuator manufacturers invested in reducing the physical footprint and mass of subsea electric actuator assemblies, lowering lifting and installation costs. Second, the integration of non-intrusive commissioning tools—eliminating the need to open actuator housings for initial configuration—reduced offshore commissioning manhours. Third, the adoption of encrypted wireless communication interfaces on topside actuators allowed condition monitoring data to be transmitted to onshore engineering centres without dedicated wiring, further reducing installation and maintenance costs.</w:t>
      </w:r>
    </w:p>
    <w:p>
      <w:pPr>
        <w:spacing w:after="80" w:before="140"/>
        <w:jc w:val="left"/>
      </w:pPr>
      <w:r>
        <w:rPr>
          <w:rFonts w:ascii="Times New Roman" w:cs="Times New Roman" w:eastAsia="Times New Roman" w:hAnsi="Times New Roman"/>
          <w:b/>
          <w:bCs/>
          <w:i/>
          <w:iCs/>
          <w:sz w:val="24"/>
          <w:szCs w:val="24"/>
        </w:rPr>
        <w:t xml:space="preserve">C. Environmental Transition</w:t>
      </w:r>
    </w:p>
    <w:p>
      <w:pPr>
        <w:spacing w:after="140" w:before="0" w:line="276"/>
        <w:jc w:val="both"/>
      </w:pPr>
      <w:r>
        <w:rPr>
          <w:rFonts w:ascii="Times New Roman" w:cs="Times New Roman" w:eastAsia="Times New Roman" w:hAnsi="Times New Roman"/>
          <w:sz w:val="24"/>
          <w:szCs w:val="24"/>
        </w:rPr>
        <w:t xml:space="preserve">The transition from natural-gas pneumatic actuators to electric and hydraulic alternatives represents one of the most strategically significant developments in the sector. Natural-gas pneumatic actuators, which vent methane-rich gas to atmosphere during each stroke, have been identified as material contributors to upstream greenhouse gas emissions. As regulatory frameworks in major oil and gas jurisdictions tighten methane emission limits, operators face both compliance obligations and reputational incentives to eliminate these sources. The substitution of electric actuators, which produce zero process gas venting, directly addresses this liability. The analysis presented in this review supports the engineering case for this transition: electric actuators offer not only environmental compliance but also measurably lower lifecycle costs in applications with access to reliable electrical power infrastructure.</w:t>
      </w:r>
    </w:p>
    <w:p>
      <w:pPr>
        <w:spacing w:after="80" w:before="140"/>
        <w:jc w:val="left"/>
      </w:pPr>
      <w:r>
        <w:rPr>
          <w:rFonts w:ascii="Times New Roman" w:cs="Times New Roman" w:eastAsia="Times New Roman" w:hAnsi="Times New Roman"/>
          <w:b/>
          <w:bCs/>
          <w:i/>
          <w:iCs/>
          <w:sz w:val="24"/>
          <w:szCs w:val="24"/>
        </w:rPr>
        <w:t xml:space="preserve">D. HIPPS and SIS Integration</w:t>
      </w:r>
    </w:p>
    <w:p>
      <w:pPr>
        <w:spacing w:after="140" w:before="0" w:line="276"/>
        <w:jc w:val="both"/>
      </w:pPr>
      <w:r>
        <w:rPr>
          <w:rFonts w:ascii="Times New Roman" w:cs="Times New Roman" w:eastAsia="Times New Roman" w:hAnsi="Times New Roman"/>
          <w:sz w:val="24"/>
          <w:szCs w:val="24"/>
        </w:rPr>
        <w:t xml:space="preserve">The growing deployment of HIPPS in offshore and subsea overpressure protection applications represents a particularly demanding use case for valve actuator technology. HIPPS replaces or supplements conventional pressure relief valves and rupture discs with a fully automated, SIL-rated system that detects an overpressure event and commands actuated isolation valves to close within a defined maximum response time, typically measured in seconds. The actuator assembly within a HIPPS must demonstrate a sufficiently low PFD to meet the target SIL rating, typically SIL 2 or SIL 3, as established through quantitative risk assessment. This necessitates the use of certified actuator components, redundant position sensing, and periodic partial-stroke testing (PST) to verify the actuator's ability to respond on demand without taking the valve fully out of service. The integration of PST capability with IIoT diagnostic platforms enables automated test scheduling and result logging, further enhancing the reliability case for modern actuated valve assemblies in safety instrumented functions.</w:t>
      </w:r>
    </w:p>
    <w:p>
      <w:pPr>
        <w:spacing w:after="100" w:before="200"/>
        <w:jc w:val="left"/>
      </w:pPr>
      <w:r>
        <w:rPr>
          <w:rFonts w:ascii="Times New Roman" w:cs="Times New Roman" w:eastAsia="Times New Roman" w:hAnsi="Times New Roman"/>
          <w:b/>
          <w:bCs/>
          <w:caps/>
          <w:sz w:val="24"/>
          <w:szCs w:val="24"/>
        </w:rPr>
        <w:t xml:space="preserve">VI.  Deployment and Operational Considerations</w:t>
      </w:r>
    </w:p>
    <w:p>
      <w:pPr>
        <w:spacing w:after="80" w:before="140"/>
        <w:jc w:val="left"/>
      </w:pPr>
      <w:r>
        <w:rPr>
          <w:rFonts w:ascii="Times New Roman" w:cs="Times New Roman" w:eastAsia="Times New Roman" w:hAnsi="Times New Roman"/>
          <w:b/>
          <w:bCs/>
          <w:i/>
          <w:iCs/>
          <w:sz w:val="24"/>
          <w:szCs w:val="24"/>
        </w:rPr>
        <w:t xml:space="preserve">A. Installation in Subsea Environments</w:t>
      </w:r>
    </w:p>
    <w:p>
      <w:pPr>
        <w:spacing w:after="140" w:before="0" w:line="276"/>
        <w:jc w:val="both"/>
      </w:pPr>
      <w:r>
        <w:rPr>
          <w:rFonts w:ascii="Times New Roman" w:cs="Times New Roman" w:eastAsia="Times New Roman" w:hAnsi="Times New Roman"/>
          <w:sz w:val="24"/>
          <w:szCs w:val="24"/>
        </w:rPr>
        <w:t xml:space="preserve">The installation of valve actuators in subsea environments presents logistical and engineering challenges that are qualitatively different from topside or onshore deployments. Subsea actuator assemblies are typically pre-integrated with their associated valve as a complete subsea valve assembly (SVA) on surface, function-tested at simulated depth conditions in a hyperbaric test chamber, and then deployed to the seabed by a construction vessel using ROV or saturation diving support. Electrical and hydraulic connections to the subsea distribution network are made via wet-mate connectors that permit connection and disconnection by ROV manipulators without removing the assembly from the water. The mechanical interface between the actuator and valve must be designed to accommodate the dimensional tolerances introduced by subsea retrieval and reinstallation operations.</w:t>
      </w:r>
    </w:p>
    <w:p>
      <w:pPr>
        <w:spacing w:after="80" w:before="140"/>
        <w:jc w:val="left"/>
      </w:pPr>
      <w:r>
        <w:rPr>
          <w:rFonts w:ascii="Times New Roman" w:cs="Times New Roman" w:eastAsia="Times New Roman" w:hAnsi="Times New Roman"/>
          <w:b/>
          <w:bCs/>
          <w:i/>
          <w:iCs/>
          <w:sz w:val="24"/>
          <w:szCs w:val="24"/>
        </w:rPr>
        <w:t xml:space="preserve">B. Maintenance Strategies</w:t>
      </w:r>
    </w:p>
    <w:p>
      <w:pPr>
        <w:spacing w:after="140" w:before="0" w:line="276"/>
        <w:jc w:val="both"/>
      </w:pPr>
      <w:r>
        <w:rPr>
          <w:rFonts w:ascii="Times New Roman" w:cs="Times New Roman" w:eastAsia="Times New Roman" w:hAnsi="Times New Roman"/>
          <w:sz w:val="24"/>
          <w:szCs w:val="24"/>
        </w:rPr>
        <w:t xml:space="preserve">Given the prohibitive cost of subsea intervention—typically measured in hundreds of thousands of dollars per vessel-day—maintenance strategies for subsea actuator systems prioritise condition-based and predictive approaches over scheduled time-based maintenance. IIoT-enabled actuators continuously stream diagnostic parameters including valve position, motor current, torque signature, stem load, and housing temperature to the surface control system. Deviations from established baseline signatures are flagged by analytics algorithms, enabling engineering teams to assess the rate of degradation and plan interventions before a functional failure occurs. Where ROV intervention is required to replace or rehabilitate a subsea actuator, the use of standardised ROV-retrievable actuator packages—designed for rapid hot-swap replacement without disturbing the valve body or process connections—significantly reduces the duration and cost of the intervention operation.</w:t>
      </w:r>
    </w:p>
    <w:p>
      <w:pPr>
        <w:spacing w:after="80" w:before="140"/>
        <w:jc w:val="left"/>
      </w:pPr>
      <w:r>
        <w:rPr>
          <w:rFonts w:ascii="Times New Roman" w:cs="Times New Roman" w:eastAsia="Times New Roman" w:hAnsi="Times New Roman"/>
          <w:b/>
          <w:bCs/>
          <w:i/>
          <w:iCs/>
          <w:sz w:val="24"/>
          <w:szCs w:val="24"/>
        </w:rPr>
        <w:t xml:space="preserve">C. Safety and Reliability Considerations</w:t>
      </w:r>
    </w:p>
    <w:p>
      <w:pPr>
        <w:spacing w:after="140" w:before="0" w:line="276"/>
        <w:jc w:val="both"/>
      </w:pPr>
      <w:r>
        <w:rPr>
          <w:rFonts w:ascii="Times New Roman" w:cs="Times New Roman" w:eastAsia="Times New Roman" w:hAnsi="Times New Roman"/>
          <w:sz w:val="24"/>
          <w:szCs w:val="24"/>
        </w:rPr>
        <w:t xml:space="preserve">Safety in offshore and subsea actuator applications is governed by a combination of equipment design standards, functional safety standards, and operational procedures. The IEC 61511 functional safety standard defines the framework for identifying safety instrumented functions (SIFs), allocating SIL targets, designing and verifying SIS hardware, and managing the safety lifecycle of the installed system. Actuators forming part of a SIF must be selected and configured to contribute a PFD consistent with the allocated SIL target, verified through probabilistic calculation using component failure rate data from recognised databases such as OREDA. The use of redundant actuator configurations—for example, two-out-of-three voting arrangements—can be employed where the PFD of a single actuator is insufficient to meet the SIL requirement. Fail-safe actuator configurations, in which the actuator drives the valve to its defined safe position upon loss of power or control signal, are standard practice for ESD and HIPPS applications.</w:t>
      </w:r>
    </w:p>
    <w:p>
      <w:pPr>
        <w:spacing w:after="100" w:before="200"/>
        <w:jc w:val="left"/>
      </w:pPr>
      <w:r>
        <w:rPr>
          <w:rFonts w:ascii="Times New Roman" w:cs="Times New Roman" w:eastAsia="Times New Roman" w:hAnsi="Times New Roman"/>
          <w:b/>
          <w:bCs/>
          <w:caps/>
          <w:sz w:val="24"/>
          <w:szCs w:val="24"/>
        </w:rPr>
        <w:t xml:space="preserve">VII.  Conclusion</w:t>
      </w:r>
    </w:p>
    <w:p>
      <w:pPr>
        <w:spacing w:after="140" w:before="0" w:line="276"/>
        <w:jc w:val="both"/>
      </w:pPr>
      <w:r>
        <w:rPr>
          <w:rFonts w:ascii="Times New Roman" w:cs="Times New Roman" w:eastAsia="Times New Roman" w:hAnsi="Times New Roman"/>
          <w:sz w:val="24"/>
          <w:szCs w:val="24"/>
        </w:rPr>
        <w:t xml:space="preserve">This paper has reviewed the principal advancements in valve actuator technologies for offshore platform and subsea installation applications, framed within the economic and regulatory context that has driven innovation in the sector since 2015. The analysis demonstrates that the four principal actuator types—hydraulic, pneumatic, electric, and electro-hydraulic—each present a distinct engineering profile that must be matched to the specific requirements of the intended deployment.</w:t>
      </w:r>
    </w:p>
    <w:p>
      <w:pPr>
        <w:spacing w:after="140" w:before="0" w:line="276"/>
        <w:jc w:val="both"/>
      </w:pPr>
      <w:r>
        <w:rPr>
          <w:rFonts w:ascii="Times New Roman" w:cs="Times New Roman" w:eastAsia="Times New Roman" w:hAnsi="Times New Roman"/>
          <w:sz w:val="24"/>
          <w:szCs w:val="24"/>
        </w:rPr>
        <w:t xml:space="preserve">Electric actuators have emerged as the technology of choice for deep-water subsea applications and for topside installations where IIoT integration, emissions reduction, and lifecycle cost minimisation are priority objectives. Their compatibility with digital communication architectures, real-time diagnostics, and zero-emission operation places them at the forefront of the industry's technical evolution. Hydraulic actuators retain their position of strength in applications requiring very high torque output or where existing hydraulic infrastructure is already in place. Pneumatic actuators, while technically mature, face increasing regulatory and environmental pressure that is accelerating their replacement with electric alternatives in topsides applications.</w:t>
      </w:r>
    </w:p>
    <w:p>
      <w:pPr>
        <w:spacing w:after="140" w:before="0" w:line="276"/>
        <w:jc w:val="both"/>
      </w:pPr>
      <w:r>
        <w:rPr>
          <w:rFonts w:ascii="Times New Roman" w:cs="Times New Roman" w:eastAsia="Times New Roman" w:hAnsi="Times New Roman"/>
          <w:sz w:val="24"/>
          <w:szCs w:val="24"/>
        </w:rPr>
        <w:t xml:space="preserve">The integration of advanced features—including encrypted wireless monitoring, non-intrusive commissioning, data logging, torque profiling, partial-stroke testing, HIPPS, and SIS—has transformed the valve actuator from a passive mechanical device into an intelligent field element within the broader digital oilfield ecosystem. These developments directly address the historical limitations of conventional actuator systems in terms of diagnostic transparency, environmental impact, and total cost of ownership.</w:t>
      </w:r>
    </w:p>
    <w:p>
      <w:pPr>
        <w:spacing w:after="140" w:before="0" w:line="276"/>
        <w:jc w:val="both"/>
      </w:pPr>
      <w:r>
        <w:rPr>
          <w:rFonts w:ascii="Times New Roman" w:cs="Times New Roman" w:eastAsia="Times New Roman" w:hAnsi="Times New Roman"/>
          <w:sz w:val="24"/>
          <w:szCs w:val="24"/>
        </w:rPr>
        <w:t xml:space="preserve">The engineering significance of these advancements extends beyond equipment performance metrics: they represent a fundamental shift in the operational philosophy of offshore and subsea production systems, enabling operators to transition from reactive maintenance paradigms to proactive, data-driven asset management strategies.</w:t>
      </w:r>
    </w:p>
    <w:p>
      <w:pPr>
        <w:spacing w:after="100" w:before="200"/>
        <w:jc w:val="left"/>
      </w:pPr>
      <w:r>
        <w:rPr>
          <w:rFonts w:ascii="Times New Roman" w:cs="Times New Roman" w:eastAsia="Times New Roman" w:hAnsi="Times New Roman"/>
          <w:b/>
          <w:bCs/>
          <w:caps/>
          <w:sz w:val="24"/>
          <w:szCs w:val="24"/>
        </w:rPr>
        <w:t xml:space="preserve">VIII.  Future Work</w:t>
      </w:r>
    </w:p>
    <w:p>
      <w:pPr>
        <w:spacing w:after="140" w:before="0" w:line="276"/>
        <w:jc w:val="both"/>
      </w:pPr>
      <w:r>
        <w:rPr>
          <w:rFonts w:ascii="Times New Roman" w:cs="Times New Roman" w:eastAsia="Times New Roman" w:hAnsi="Times New Roman"/>
          <w:sz w:val="24"/>
          <w:szCs w:val="24"/>
        </w:rPr>
        <w:t xml:space="preserve">Several research and development directions present promising opportunities for further advancement in valve actuator technology for offshore and subsea applications. First, the application of artificial intelligence and machine learning algorithms to actuator diagnostic data streams offers the potential to substantially improve the accuracy and lead time of predictive maintenance alerts, moving beyond threshold-based alarms toward physics-informed degradation models. Second, the development of digital twin frameworks—computational models of individual actuator assemblies calibrated against as-built performance data and updated in real time from operational telemetry—would enable simulation-based assessment of remaining useful life and optimisation of intervention scheduling. Third, the continued miniaturisation and power efficiency improvement of subsea electric actuator components, particularly permanent magnet motor technologies and wide-bandgap power electronics, is expected to extend the feasibility of all-electric subsea architectures to progressively larger valve sizes and higher pressure ratings. Finally, the development of energy harvesting technologies capable of powering subsea actuator monitoring electronics from process flow energy would enhance the autonomy of subsea systems and reduce dependence on umbilical power infrastructure in remote deep-water fields.</w:t>
      </w:r>
    </w:p>
    <w:p>
      <w:pPr>
        <w:pBdr>
          <w:bottom w:val="single" w:color="000000" w:sz="6" w:space="1"/>
        </w:pBdr>
        <w:spacing w:after="120" w:before="120"/>
      </w:pPr>
      <w:r>
        <w:t xml:space="preserve"/>
      </w:r>
    </w:p>
    <w:p>
      <w:pPr>
        <w:spacing w:after="100" w:before="200"/>
        <w:jc w:val="left"/>
      </w:pPr>
      <w:r>
        <w:rPr>
          <w:rFonts w:ascii="Times New Roman" w:cs="Times New Roman" w:eastAsia="Times New Roman" w:hAnsi="Times New Roman"/>
          <w:b/>
          <w:bCs/>
          <w:caps/>
          <w:sz w:val="24"/>
          <w:szCs w:val="24"/>
        </w:rPr>
        <w:t xml:space="preserve">References</w:t>
      </w:r>
    </w:p>
    <w:p>
      <w:pPr>
        <w:spacing w:after="100" w:before="0" w:line="276"/>
        <w:ind w:left="360" w:hanging="360"/>
        <w:jc w:val="left"/>
      </w:pPr>
      <w:r>
        <w:rPr>
          <w:rFonts w:ascii="Times New Roman" w:cs="Times New Roman" w:eastAsia="Times New Roman" w:hAnsi="Times New Roman"/>
          <w:sz w:val="24"/>
          <w:szCs w:val="24"/>
        </w:rPr>
        <w:t xml:space="preserve">[1] N. B. Ganefriady and M. D. Raindityo, "Advancements Technologies and Trends of Valve Actuators in Offshore Platforms and Subsea Installations," Universitas Gadjah Mada, Yogyakarta, Indonesia, 2024.</w:t>
      </w:r>
    </w:p>
    <w:p>
      <w:pPr>
        <w:spacing w:after="100" w:before="0" w:line="276"/>
        <w:ind w:left="360" w:hanging="360"/>
        <w:jc w:val="left"/>
      </w:pPr>
      <w:r>
        <w:rPr>
          <w:rFonts w:ascii="Times New Roman" w:cs="Times New Roman" w:eastAsia="Times New Roman" w:hAnsi="Times New Roman"/>
          <w:sz w:val="24"/>
          <w:szCs w:val="24"/>
        </w:rPr>
        <w:t xml:space="preserve">[2] M. Matosec, "Valve Actuation Market Trends and Developments," Resolute Research, 2023.</w:t>
      </w:r>
    </w:p>
    <w:p>
      <w:pPr>
        <w:spacing w:after="100" w:before="0" w:line="276"/>
        <w:ind w:left="360" w:hanging="360"/>
        <w:jc w:val="left"/>
      </w:pPr>
      <w:r>
        <w:rPr>
          <w:rFonts w:ascii="Times New Roman" w:cs="Times New Roman" w:eastAsia="Times New Roman" w:hAnsi="Times New Roman"/>
          <w:sz w:val="24"/>
          <w:szCs w:val="24"/>
        </w:rPr>
        <w:t xml:space="preserve">[3] International Electrotechnical Commission, "IEC 61511: Functional Safety – Safety Instrumented Systems for the Process Industry Sector," IEC, Geneva, Switzerland, 2016.</w:t>
      </w:r>
    </w:p>
    <w:p>
      <w:pPr>
        <w:spacing w:after="100" w:before="0" w:line="276"/>
        <w:ind w:left="360" w:hanging="360"/>
        <w:jc w:val="left"/>
      </w:pPr>
      <w:r>
        <w:rPr>
          <w:rFonts w:ascii="Times New Roman" w:cs="Times New Roman" w:eastAsia="Times New Roman" w:hAnsi="Times New Roman"/>
          <w:sz w:val="24"/>
          <w:szCs w:val="24"/>
        </w:rPr>
        <w:t xml:space="preserve">[4] International Electrotechnical Commission, "IEC 60079: Explosive Atmospheres – Equipment Protection by Flameproof Enclosures," IEC, Geneva, Switzerland, 2014.</w:t>
      </w:r>
    </w:p>
    <w:p>
      <w:pPr>
        <w:spacing w:after="100" w:before="0" w:line="276"/>
        <w:ind w:left="360" w:hanging="360"/>
        <w:jc w:val="left"/>
      </w:pPr>
      <w:r>
        <w:rPr>
          <w:rFonts w:ascii="Times New Roman" w:cs="Times New Roman" w:eastAsia="Times New Roman" w:hAnsi="Times New Roman"/>
          <w:sz w:val="24"/>
          <w:szCs w:val="24"/>
        </w:rPr>
        <w:t xml:space="preserve">[5] OREDA Participants, OREDA: Offshore Reliability Data Handbook, 6th ed. Trondheim, Norway: SINTEF, 2015.</w:t>
      </w:r>
    </w:p>
    <w:p>
      <w:pPr>
        <w:spacing w:after="100" w:before="0" w:line="276"/>
        <w:ind w:left="360" w:hanging="360"/>
        <w:jc w:val="left"/>
      </w:pPr>
      <w:r>
        <w:rPr>
          <w:rFonts w:ascii="Times New Roman" w:cs="Times New Roman" w:eastAsia="Times New Roman" w:hAnsi="Times New Roman"/>
          <w:sz w:val="24"/>
          <w:szCs w:val="24"/>
        </w:rPr>
        <w:t xml:space="preserve">[6] Bosch Rexroth AG, "SVA R2 Subsea Valve Actuator," Product Documentation, Lohr am Main, Germany, 2022.</w:t>
      </w:r>
    </w:p>
    <w:p>
      <w:pPr>
        <w:spacing w:after="100" w:before="0" w:line="276"/>
        <w:ind w:left="360" w:hanging="360"/>
        <w:jc w:val="left"/>
      </w:pPr>
      <w:r>
        <w:rPr>
          <w:rFonts w:ascii="Times New Roman" w:cs="Times New Roman" w:eastAsia="Times New Roman" w:hAnsi="Times New Roman"/>
          <w:sz w:val="24"/>
          <w:szCs w:val="24"/>
        </w:rPr>
        <w:t xml:space="preserve">[7] American Petroleum Institute, "API 6A: Specification for Wellhead and Tree Equipment," 21st ed. Washington, DC: API Publishing Services,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2026-04-20T08:49:58.854Z</dcterms:created>
  <dcterms:modified xsi:type="dcterms:W3CDTF">2026-04-20T08:49:58.855Z</dcterms:modified>
</cp:coreProperties>
</file>

<file path=docProps/custom.xml><?xml version="1.0" encoding="utf-8"?>
<Properties xmlns="http://schemas.openxmlformats.org/officeDocument/2006/custom-properties" xmlns:vt="http://schemas.openxmlformats.org/officeDocument/2006/docPropsVTypes"/>
</file>