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深度除氟预测与加药推荐服务-项目报告"/>
    <w:p>
      <w:pPr>
        <w:pStyle w:val="Heading1"/>
      </w:pPr>
      <w:r>
        <w:t xml:space="preserve">深度除氟预测与加药推荐服务 项目报告</w:t>
      </w:r>
    </w:p>
    <w:p>
      <w:pPr>
        <w:pStyle w:val="FirstParagraph"/>
      </w:pPr>
      <w:r>
        <w:t xml:space="preserve">版本 0.4.0 | 2025年6月</w:t>
      </w:r>
    </w:p>
    <w:p>
      <w:r>
        <w:pict>
          <v:rect style="width:0;height:1.5pt" o:hralign="center" o:hrstd="t" o:hr="t"/>
        </w:pict>
      </w:r>
    </w:p>
    <w:bookmarkStart w:id="21" w:name="一项目概述"/>
    <w:p>
      <w:pPr>
        <w:pStyle w:val="Heading2"/>
      </w:pPr>
      <w:r>
        <w:t xml:space="preserve">一、项目概述</w:t>
      </w:r>
    </w:p>
    <w:p>
      <w:pPr>
        <w:pStyle w:val="FirstParagraph"/>
      </w:pPr>
      <w:r>
        <w:t xml:space="preserve">本项目为磁介质混凝沉淀深度除氟工艺提供 AI 加药推荐服务。上位机 PLC 通过 DB19 寄存器采集 11 项水质参数，API 计算后返回 PAC（混凝剂）和除氟剂推荐投加量，PLC 写入对应寄存器控制计量泵，实现出水氟浓度达标排放。</w:t>
      </w:r>
    </w:p>
    <w:bookmarkStart w:id="20" w:name="核心指标"/>
    <w:p>
      <w:pPr>
        <w:pStyle w:val="Heading3"/>
      </w:pPr>
      <w:r>
        <w:t xml:space="preserve">核心指标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排放红线</w:t>
            </w:r>
          </w:p>
        </w:tc>
        <w:tc>
          <w:p>
            <w:pPr>
              <w:pStyle w:val="Compact"/>
              <w:jc w:val="left"/>
            </w:pPr>
            <w:r>
              <w:t xml:space="preserve">1.0 mg/L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安全目标</w:t>
            </w:r>
          </w:p>
        </w:tc>
        <w:tc>
          <w:p>
            <w:pPr>
              <w:pStyle w:val="Compact"/>
              <w:jc w:val="left"/>
            </w:pPr>
            <w:r>
              <w:t xml:space="preserve">0.9 mg/L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模型类型</w:t>
            </w:r>
          </w:p>
        </w:tc>
        <w:tc>
          <w:p>
            <w:pPr>
              <w:pStyle w:val="Compact"/>
              <w:jc w:val="left"/>
            </w:pPr>
            <w:r>
              <w:t xml:space="preserve">TabPFN v2.5 + XGBoost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训练集 R²</w:t>
            </w:r>
          </w:p>
        </w:tc>
        <w:tc>
          <w:p>
            <w:pPr>
              <w:pStyle w:val="Compact"/>
              <w:jc w:val="left"/>
            </w:pPr>
            <w:r>
              <w:t xml:space="preserve">0.9883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 RMSE</w:t>
            </w:r>
          </w:p>
        </w:tc>
        <w:tc>
          <w:p>
            <w:pPr>
              <w:pStyle w:val="Compact"/>
              <w:jc w:val="left"/>
            </w:pPr>
            <w:r>
              <w:t xml:space="preserve">0.0441 mg/L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交叉验证 R²</w:t>
            </w:r>
          </w:p>
        </w:tc>
        <w:tc>
          <w:p>
            <w:pPr>
              <w:pStyle w:val="Compact"/>
              <w:jc w:val="left"/>
            </w:pPr>
            <w:r>
              <w:t xml:space="preserve">0.9425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输入特征</w:t>
            </w:r>
          </w:p>
        </w:tc>
        <w:tc>
          <w:p>
            <w:pPr>
              <w:pStyle w:val="Compact"/>
              <w:jc w:val="left"/>
            </w:pPr>
            <w:r>
              <w:t xml:space="preserve">11 项（含派生特征后 210 维）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加药优化</w:t>
            </w:r>
          </w:p>
        </w:tc>
        <w:tc>
          <w:p>
            <w:pPr>
              <w:pStyle w:val="Compact"/>
              <w:jc w:val="left"/>
            </w:pPr>
            <w:r>
              <w:t xml:space="preserve">40×40 网格搜索（1600 候选）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二系统架构"/>
    <w:p>
      <w:pPr>
        <w:pStyle w:val="Heading2"/>
      </w:pPr>
      <w:r>
        <w:t xml:space="preserve">二、系统架构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HTTP POST /batch     ┌─────────────────┐</w:t>
      </w:r>
      <w:r>
        <w:br/>
      </w:r>
      <w:r>
        <w:rPr>
          <w:rStyle w:val="VerbatimChar"/>
        </w:rPr>
        <w:t xml:space="preserve">│  PLC DB19    │ ─────────────────────────→│  FastAPI :8000  │</w:t>
      </w:r>
      <w:r>
        <w:br/>
      </w:r>
      <w:r>
        <w:rPr>
          <w:rStyle w:val="VerbatimChar"/>
        </w:rPr>
        <w:t xml:space="preserve">│  11 个读取    │ ←─────────────────────────│                 │</w:t>
      </w:r>
      <w:r>
        <w:br/>
      </w:r>
      <w:r>
        <w:rPr>
          <w:rStyle w:val="VerbatimChar"/>
        </w:rPr>
        <w:t xml:space="preserve">│  2 个写入     │     JSON 加药推荐         │  serve.py       │</w:t>
      </w:r>
      <w:r>
        <w:br/>
      </w:r>
      <w:r>
        <w:rPr>
          <w:rStyle w:val="VerbatimChar"/>
        </w:rPr>
        <w:t xml:space="preserve">└──────────────┘                          │                 │</w:t>
      </w:r>
      <w:r>
        <w:br/>
      </w:r>
      <w:r>
        <w:rPr>
          <w:rStyle w:val="VerbatimChar"/>
        </w:rPr>
        <w:t xml:space="preserve">                                          │  ┌───────────┐  │</w:t>
      </w:r>
      <w:r>
        <w:br/>
      </w:r>
      <w:r>
        <w:rPr>
          <w:rStyle w:val="VerbatimChar"/>
        </w:rPr>
        <w:t xml:space="preserve">                                          │  │ Inference  │  │</w:t>
      </w:r>
      <w:r>
        <w:br/>
      </w:r>
      <w:r>
        <w:rPr>
          <w:rStyle w:val="VerbatimChar"/>
        </w:rPr>
        <w:t xml:space="preserve">                                          │  │ Engine     │  │</w:t>
      </w:r>
      <w:r>
        <w:br/>
      </w:r>
      <w:r>
        <w:rPr>
          <w:rStyle w:val="VerbatimChar"/>
        </w:rPr>
        <w:t xml:space="preserve">                                          │  │ TabPFN     │  │</w:t>
      </w:r>
      <w:r>
        <w:br/>
      </w:r>
      <w:r>
        <w:rPr>
          <w:rStyle w:val="VerbatimChar"/>
        </w:rPr>
        <w:t xml:space="preserve">                                          │  │ XGBoost    │  │</w:t>
      </w:r>
      <w:r>
        <w:br/>
      </w:r>
      <w:r>
        <w:rPr>
          <w:rStyle w:val="VerbatimChar"/>
        </w:rPr>
        <w:t xml:space="preserve">                                          │  └───────────┘  │</w:t>
      </w:r>
      <w:r>
        <w:br/>
      </w:r>
      <w:r>
        <w:rPr>
          <w:rStyle w:val="VerbatimChar"/>
        </w:rPr>
        <w:t xml:space="preserve">                                          │  ┌───────────┐  │</w:t>
      </w:r>
      <w:r>
        <w:br/>
      </w:r>
      <w:r>
        <w:rPr>
          <w:rStyle w:val="VerbatimChar"/>
        </w:rPr>
        <w:t xml:space="preserve">                                          │  │ Optimizer  │  │</w:t>
      </w:r>
      <w:r>
        <w:br/>
      </w:r>
      <w:r>
        <w:rPr>
          <w:rStyle w:val="VerbatimChar"/>
        </w:rPr>
        <w:t xml:space="preserve">                                          │  │ 网格搜索    │  │</w:t>
      </w:r>
      <w:r>
        <w:br/>
      </w:r>
      <w:r>
        <w:rPr>
          <w:rStyle w:val="VerbatimChar"/>
        </w:rPr>
        <w:t xml:space="preserve">                                          │  └───────────┘  │</w:t>
      </w:r>
      <w:r>
        <w:br/>
      </w:r>
      <w:r>
        <w:rPr>
          <w:rStyle w:val="VerbatimChar"/>
        </w:rPr>
        <w:t xml:space="preserve">                                          └─────────────────┘</w:t>
      </w:r>
    </w:p>
    <w:bookmarkStart w:id="22" w:name="技术栈"/>
    <w:p>
      <w:pPr>
        <w:pStyle w:val="Heading3"/>
      </w:pPr>
      <w:r>
        <w:t xml:space="preserve">技术栈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框架</w:t>
            </w:r>
          </w:p>
        </w:tc>
        <w:tc>
          <w:p>
            <w:pPr>
              <w:pStyle w:val="Compact"/>
              <w:jc w:val="left"/>
            </w:pPr>
            <w:r>
              <w:t xml:space="preserve">FastAPI 0.136.3 + Uvicorn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主模型</w:t>
            </w:r>
          </w:p>
        </w:tc>
        <w:tc>
          <w:p>
            <w:pPr>
              <w:pStyle w:val="Compact"/>
              <w:jc w:val="left"/>
            </w:pPr>
            <w:r>
              <w:t xml:space="preserve">TabPFN v2.5（Transformer 元学习器）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备用/优化器</w:t>
            </w:r>
          </w:p>
        </w:tc>
        <w:tc>
          <w:p>
            <w:pPr>
              <w:pStyle w:val="Compact"/>
              <w:jc w:val="left"/>
            </w:pPr>
            <w:r>
              <w:t xml:space="preserve">XGBoost v3.2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特征工程</w:t>
            </w:r>
          </w:p>
        </w:tc>
        <w:tc>
          <w:p>
            <w:pPr>
              <w:pStyle w:val="Compact"/>
              <w:jc w:val="left"/>
            </w:pPr>
            <w:r>
              <w:t xml:space="preserve">scikit-learn StandardScaler + HRT 延迟 + 时序展开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pytest 8.3.4（91 测试）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三数据来源"/>
    <w:p>
      <w:pPr>
        <w:pStyle w:val="Heading2"/>
      </w:pPr>
      <w:r>
        <w:t xml:space="preserve">三、数据来源</w:t>
      </w:r>
    </w:p>
    <w:bookmarkStart w:id="24" w:name="输入字段11-项全部来自-plc-db19-寄存器"/>
    <w:p>
      <w:pPr>
        <w:pStyle w:val="Heading3"/>
      </w:pPr>
      <w:r>
        <w:t xml:space="preserve">输入字段（11 项，全部来自 PLC DB19 寄存器）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PLC 地址</w:t>
            </w:r>
          </w:p>
        </w:tc>
        <w:tc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p>
            <w:pPr>
              <w:pStyle w:val="Compact"/>
              <w:jc w:val="left"/>
            </w:pPr>
            <w:r>
              <w:t xml:space="preserve">中试完整率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influent_flow</w:t>
            </w:r>
          </w:p>
        </w:tc>
        <w:tc>
          <w:p>
            <w:pPr>
              <w:pStyle w:val="Compact"/>
              <w:jc w:val="left"/>
            </w:pPr>
            <w:r>
              <w:t xml:space="preserve">DBD0</w:t>
            </w:r>
          </w:p>
        </w:tc>
        <w:tc>
          <w:p>
            <w:pPr>
              <w:pStyle w:val="Compact"/>
              <w:jc w:val="left"/>
            </w:pPr>
            <w:r>
              <w:t xml:space="preserve">m³/h</w:t>
            </w:r>
          </w:p>
        </w:tc>
        <w:tc>
          <w:p>
            <w:pPr>
              <w:pStyle w:val="Compact"/>
              <w:jc w:val="left"/>
            </w:pPr>
            <w:r>
              <w:t xml:space="preserve">40/40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influent_ph</w:t>
            </w:r>
          </w:p>
        </w:tc>
        <w:tc>
          <w:p>
            <w:pPr>
              <w:pStyle w:val="Compact"/>
              <w:jc w:val="left"/>
            </w:pPr>
            <w:r>
              <w:t xml:space="preserve">DBD4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39/40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conductivity</w:t>
            </w:r>
          </w:p>
        </w:tc>
        <w:tc>
          <w:p>
            <w:pPr>
              <w:pStyle w:val="Compact"/>
              <w:jc w:val="left"/>
            </w:pPr>
            <w:r>
              <w:t xml:space="preserve">DBD8</w:t>
            </w:r>
          </w:p>
        </w:tc>
        <w:tc>
          <w:p>
            <w:pPr>
              <w:pStyle w:val="Compact"/>
              <w:jc w:val="left"/>
            </w:pPr>
            <w:r>
              <w:t xml:space="preserve">μS/cm</w:t>
            </w:r>
          </w:p>
        </w:tc>
        <w:tc>
          <w:p>
            <w:pPr>
              <w:pStyle w:val="Compact"/>
              <w:jc w:val="left"/>
            </w:pPr>
            <w:r>
              <w:t xml:space="preserve">34/40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influent_f</w:t>
            </w:r>
          </w:p>
        </w:tc>
        <w:tc>
          <w:p>
            <w:pPr>
              <w:pStyle w:val="Compact"/>
              <w:jc w:val="left"/>
            </w:pPr>
            <w:r>
              <w:t xml:space="preserve">DBD12</w:t>
            </w:r>
          </w:p>
        </w:tc>
        <w:tc>
          <w:p>
            <w:pPr>
              <w:pStyle w:val="Compact"/>
              <w:jc w:val="left"/>
            </w:pPr>
            <w:r>
              <w:t xml:space="preserve">mg/L</w:t>
            </w:r>
          </w:p>
        </w:tc>
        <w:tc>
          <w:p>
            <w:pPr>
              <w:pStyle w:val="Compact"/>
              <w:jc w:val="left"/>
            </w:pPr>
            <w:r>
              <w:t xml:space="preserve">40/40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pacl_dose</w:t>
            </w:r>
          </w:p>
        </w:tc>
        <w:tc>
          <w:p>
            <w:pPr>
              <w:pStyle w:val="Compact"/>
              <w:jc w:val="left"/>
            </w:pPr>
            <w:r>
              <w:t xml:space="preserve">DBD16</w:t>
            </w:r>
          </w:p>
        </w:tc>
        <w:tc>
          <w:p>
            <w:pPr>
              <w:pStyle w:val="Compact"/>
              <w:jc w:val="left"/>
            </w:pPr>
            <w:r>
              <w:t xml:space="preserve">mg/L</w:t>
            </w:r>
          </w:p>
        </w:tc>
        <w:tc>
          <w:p>
            <w:pPr>
              <w:pStyle w:val="Compact"/>
              <w:jc w:val="left"/>
            </w:pPr>
            <w:r>
              <w:t xml:space="preserve">38/40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defluor_dose</w:t>
            </w:r>
          </w:p>
        </w:tc>
        <w:tc>
          <w:p>
            <w:pPr>
              <w:pStyle w:val="Compact"/>
              <w:jc w:val="left"/>
            </w:pPr>
            <w:r>
              <w:t xml:space="preserve">DBD20</w:t>
            </w:r>
          </w:p>
        </w:tc>
        <w:tc>
          <w:p>
            <w:pPr>
              <w:pStyle w:val="Compact"/>
              <w:jc w:val="left"/>
            </w:pPr>
            <w:r>
              <w:t xml:space="preserve">mL/L</w:t>
            </w:r>
          </w:p>
        </w:tc>
        <w:tc>
          <w:p>
            <w:pPr>
              <w:pStyle w:val="Compact"/>
              <w:jc w:val="left"/>
            </w:pPr>
            <w:r>
              <w:t xml:space="preserve">35/40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pacl_tank_ph</w:t>
            </w:r>
          </w:p>
        </w:tc>
        <w:tc>
          <w:p>
            <w:pPr>
              <w:pStyle w:val="Compact"/>
              <w:jc w:val="left"/>
            </w:pPr>
            <w:r>
              <w:t xml:space="preserve">DBD24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40/40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defluor_tank_ph</w:t>
            </w:r>
          </w:p>
        </w:tc>
        <w:tc>
          <w:p>
            <w:pPr>
              <w:pStyle w:val="Compact"/>
              <w:jc w:val="left"/>
            </w:pPr>
            <w:r>
              <w:t xml:space="preserve">DBD28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40/40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recycle_flow</w:t>
            </w:r>
          </w:p>
        </w:tc>
        <w:tc>
          <w:p>
            <w:pPr>
              <w:pStyle w:val="Compact"/>
              <w:jc w:val="left"/>
            </w:pPr>
            <w:r>
              <w:t xml:space="preserve">DBD32</w:t>
            </w:r>
          </w:p>
        </w:tc>
        <w:tc>
          <w:p>
            <w:pPr>
              <w:pStyle w:val="Compact"/>
              <w:jc w:val="left"/>
            </w:pPr>
            <w:r>
              <w:t xml:space="preserve">m³/h</w:t>
            </w:r>
          </w:p>
        </w:tc>
        <w:tc>
          <w:p>
            <w:pPr>
              <w:pStyle w:val="Compact"/>
              <w:jc w:val="left"/>
            </w:pPr>
            <w:r>
              <w:t xml:space="preserve">19/40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waste_flow</w:t>
            </w:r>
          </w:p>
        </w:tc>
        <w:tc>
          <w:p>
            <w:pPr>
              <w:pStyle w:val="Compact"/>
              <w:jc w:val="left"/>
            </w:pPr>
            <w:r>
              <w:t xml:space="preserve">DBD36</w:t>
            </w:r>
          </w:p>
        </w:tc>
        <w:tc>
          <w:p>
            <w:pPr>
              <w:pStyle w:val="Compact"/>
              <w:jc w:val="left"/>
            </w:pPr>
            <w:r>
              <w:t xml:space="preserve">m³/h</w:t>
            </w:r>
          </w:p>
        </w:tc>
        <w:tc>
          <w:p>
            <w:pPr>
              <w:pStyle w:val="Compact"/>
              <w:jc w:val="left"/>
            </w:pPr>
            <w:r>
              <w:t xml:space="preserve">16/40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pam_dose</w:t>
            </w:r>
          </w:p>
        </w:tc>
        <w:tc>
          <w:p>
            <w:pPr>
              <w:pStyle w:val="Compact"/>
              <w:jc w:val="left"/>
            </w:pPr>
            <w:r>
              <w:t xml:space="preserve">DBD40</w:t>
            </w:r>
          </w:p>
        </w:tc>
        <w:tc>
          <w:p>
            <w:pPr>
              <w:pStyle w:val="Compact"/>
              <w:jc w:val="left"/>
            </w:pPr>
            <w:r>
              <w:t xml:space="preserve">mg/L</w:t>
            </w:r>
          </w:p>
        </w:tc>
        <w:tc>
          <w:p>
            <w:pPr>
              <w:pStyle w:val="Compact"/>
              <w:jc w:val="left"/>
            </w:pPr>
            <w:r>
              <w:t xml:space="preserve">32/40</w:t>
            </w:r>
          </w:p>
        </w:tc>
      </w:tr>
    </w:tbl>
    <w:bookmarkEnd w:id="24"/>
    <w:bookmarkStart w:id="25" w:name="输出字段2-项写入-plc-db19-寄存器"/>
    <w:p>
      <w:pPr>
        <w:pStyle w:val="Heading3"/>
      </w:pPr>
      <w:r>
        <w:t xml:space="preserve">输出字段（2 项，写入 PLC DB19 寄存器）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PLC 地址</w:t>
            </w:r>
          </w:p>
        </w:tc>
        <w:tc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pacl_dose_setpoint</w:t>
            </w:r>
          </w:p>
        </w:tc>
        <w:tc>
          <w:p>
            <w:pPr>
              <w:pStyle w:val="Compact"/>
              <w:jc w:val="left"/>
            </w:pPr>
            <w:r>
              <w:t xml:space="preserve">DBD72</w:t>
            </w:r>
          </w:p>
        </w:tc>
        <w:tc>
          <w:p>
            <w:pPr>
              <w:pStyle w:val="Compact"/>
              <w:jc w:val="left"/>
            </w:pPr>
            <w:r>
              <w:t xml:space="preserve">mg/L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defluor_dose_setpoint</w:t>
            </w:r>
          </w:p>
        </w:tc>
        <w:tc>
          <w:p>
            <w:pPr>
              <w:pStyle w:val="Compact"/>
              <w:jc w:val="left"/>
            </w:pPr>
            <w:r>
              <w:t xml:space="preserve">DBD68</w:t>
            </w:r>
          </w:p>
        </w:tc>
        <w:tc>
          <w:p>
            <w:pPr>
              <w:pStyle w:val="Compact"/>
              <w:jc w:val="left"/>
            </w:pPr>
            <w:r>
              <w:t xml:space="preserve">mL/L</w:t>
            </w:r>
          </w:p>
        </w:tc>
      </w:tr>
    </w:tbl>
    <w:bookmarkEnd w:id="25"/>
    <w:bookmarkStart w:id="26" w:name="数据依据"/>
    <w:p>
      <w:pPr>
        <w:pStyle w:val="Heading3"/>
      </w:pPr>
      <w:r>
        <w:t xml:space="preserve">数据依据</w:t>
      </w:r>
    </w:p>
    <w:p>
      <w:pPr>
        <w:pStyle w:val="FirstParagraph"/>
      </w:pPr>
      <w:r>
        <w:t xml:space="preserve">综合三份资料对齐：中试原始数据（40 批次）、上位机 PLC 交互数据（DB19 寄存器表）、项目代码（config.py）。全部字段三方一致。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四api-接口"/>
    <w:p>
      <w:pPr>
        <w:pStyle w:val="Heading2"/>
      </w:pPr>
      <w:r>
        <w:t xml:space="preserve">四、API 接口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p>
            <w:pPr>
              <w:pStyle w:val="Compact"/>
              <w:jc w:val="left"/>
            </w:pPr>
            <w:r>
              <w:t xml:space="preserve">服务存活检查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/api/v1/ready</w:t>
            </w:r>
          </w:p>
        </w:tc>
        <w:tc>
          <w:p>
            <w:pPr>
              <w:pStyle w:val="Compact"/>
              <w:jc w:val="left"/>
            </w:pPr>
            <w:r>
              <w:t xml:space="preserve">模型就绪检查（Docker 健康探测）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/api/v1/dose/recommend/batch</w:t>
            </w:r>
          </w:p>
        </w:tc>
        <w:tc>
          <w:p>
            <w:pPr>
              <w:pStyle w:val="Compact"/>
              <w:jc w:val="left"/>
            </w:pPr>
            <w:r>
              <w:t xml:space="preserve">上传水质记录，返回加药推荐</w:t>
            </w:r>
          </w:p>
        </w:tc>
      </w:tr>
    </w:tbl>
    <w:bookmarkStart w:id="28" w:name="请求格式"/>
    <w:p>
      <w:pPr>
        <w:pStyle w:val="Heading3"/>
      </w:pPr>
      <w:r>
        <w:t xml:space="preserve">请求格式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"2025-06-16T14:00:00+08:00"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"influent_flow"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101.4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"influent_ph"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"conductivity"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"influent_f"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"pacl_dose"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775.4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"defluor_dose"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"pacl_tank_ph"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"defluor_tank_ph"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"recycle_flow"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"waste_flow"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"pam_dose"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"async_mode"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响应格式"/>
    <w:p>
      <w:pPr>
        <w:pStyle w:val="Heading3"/>
      </w:pPr>
      <w:r>
        <w:t xml:space="preserve">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"pacl_dose_setpoint"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1407.7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"defluor_dose_setpoint"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"predicted_f"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"effluent_limit"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"safety_margin"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"based_on_records"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策略模式"/>
    <w:p>
      <w:pPr>
        <w:pStyle w:val="Heading3"/>
      </w:pPr>
      <w:r>
        <w:t xml:space="preserve">策略模式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</w:t>
            </w:r>
          </w:p>
        </w:tc>
        <w:tc>
          <w:p>
            <w:pPr>
              <w:pStyle w:val="Compact"/>
              <w:jc w:val="left"/>
            </w:pPr>
            <w:r>
              <w:t xml:space="preserve">优先出水达标（q95 &lt; 0.9 mg/L）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p>
            <w:pPr>
              <w:pStyle w:val="Compact"/>
              <w:jc w:val="left"/>
            </w:pPr>
            <w:r>
              <w:t xml:space="preserve">达标前提下成本最低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p>
            <w:pPr>
              <w:pStyle w:val="Compact"/>
              <w:jc w:val="left"/>
            </w:pPr>
            <w:r>
              <w:t xml:space="preserve">综合平衡（默认）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五模型说明"/>
    <w:p>
      <w:pPr>
        <w:pStyle w:val="Heading2"/>
      </w:pPr>
      <w:r>
        <w:t xml:space="preserve">五、模型说明</w:t>
      </w:r>
    </w:p>
    <w:bookmarkStart w:id="32" w:name="双重模型架构"/>
    <w:p>
      <w:pPr>
        <w:pStyle w:val="Heading3"/>
      </w:pPr>
      <w:r>
        <w:t xml:space="preserve">双重模型架构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性能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TabPFN v2.5</w:t>
            </w:r>
          </w:p>
        </w:tc>
        <w:tc>
          <w:p>
            <w:pPr>
              <w:pStyle w:val="Compact"/>
              <w:jc w:val="left"/>
            </w:pPr>
            <w:r>
              <w:t xml:space="preserve">主预测</w:t>
            </w:r>
          </w:p>
        </w:tc>
        <w:tc>
          <w:p>
            <w:pPr>
              <w:pStyle w:val="Compact"/>
              <w:jc w:val="left"/>
            </w:pPr>
            <w:r>
              <w:t xml:space="preserve">R²=0.9883, RMSE=0.0441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 v3.2</w:t>
            </w:r>
          </w:p>
        </w:tc>
        <w:tc>
          <w:p>
            <w:pPr>
              <w:pStyle w:val="Compact"/>
              <w:jc w:val="left"/>
            </w:pPr>
            <w:r>
              <w:t xml:space="preserve">优化器粗筛 + 异常备用</w:t>
            </w:r>
          </w:p>
        </w:tc>
        <w:tc>
          <w:p>
            <w:pPr>
              <w:pStyle w:val="Compact"/>
              <w:jc w:val="left"/>
            </w:pPr>
            <w:r>
              <w:t xml:space="preserve">R²=0.9441, RMSE=0.0961</w:t>
            </w:r>
          </w:p>
        </w:tc>
      </w:tr>
    </w:tbl>
    <w:bookmarkEnd w:id="32"/>
    <w:bookmarkStart w:id="33" w:name="加药优化"/>
    <w:p>
      <w:pPr>
        <w:pStyle w:val="Heading3"/>
      </w:pPr>
      <w:r>
        <w:t xml:space="preserve">加药优化</w:t>
      </w:r>
    </w:p>
    <w:p>
      <w:pPr>
        <w:pStyle w:val="FirstParagraph"/>
      </w:pPr>
      <w:r>
        <w:t xml:space="preserve">40×40 网格搜索：XGBoost 毫秒级粗筛 1600 候选 → TabPFN 验证 top 3 → 按模式约束选最优。</w:t>
      </w:r>
    </w:p>
    <w:bookmarkEnd w:id="33"/>
    <w:bookmarkStart w:id="34" w:name="特征工程"/>
    <w:p>
      <w:pPr>
        <w:pStyle w:val="Heading3"/>
      </w:pPr>
      <w:r>
        <w:t xml:space="preserve">特征工程</w:t>
      </w:r>
    </w:p>
    <w:p>
      <w:pPr>
        <w:numPr>
          <w:ilvl w:val="0"/>
          <w:numId w:val="1001"/>
        </w:numPr>
        <w:pStyle w:val="Compact"/>
      </w:pPr>
      <w:r>
        <w:t xml:space="preserve">HRT 延迟：11 个变量按各自池体停留时间独立延迟</w:t>
      </w:r>
    </w:p>
    <w:p>
      <w:pPr>
        <w:numPr>
          <w:ilvl w:val="0"/>
          <w:numId w:val="1001"/>
        </w:numPr>
        <w:pStyle w:val="Compact"/>
      </w:pPr>
      <w:r>
        <w:t xml:space="preserve">时序展开：lag(1/2/3/5)、rolling mean/std/slope(3/5)、diff、pct_change</w:t>
      </w:r>
    </w:p>
    <w:p>
      <w:pPr>
        <w:numPr>
          <w:ilvl w:val="0"/>
          <w:numId w:val="1001"/>
        </w:numPr>
        <w:pStyle w:val="Compact"/>
      </w:pPr>
      <w:r>
        <w:t xml:space="preserve">派生特征：recycle_ratio、waste_ratio、pacl_mass_rate、defluor_mass_rate</w:t>
      </w:r>
    </w:p>
    <w:p>
      <w:pPr>
        <w:numPr>
          <w:ilvl w:val="0"/>
          <w:numId w:val="1001"/>
        </w:numPr>
        <w:pStyle w:val="Compact"/>
      </w:pPr>
      <w:r>
        <w:t xml:space="preserve">标准化：StandardScaler（仅训练集 fit）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六部署"/>
    <w:p>
      <w:pPr>
        <w:pStyle w:val="Heading2"/>
      </w:pPr>
      <w:r>
        <w:t xml:space="preserve">六、部署</w:t>
      </w:r>
    </w:p>
    <w:bookmarkStart w:id="36" w:name="docker-部署推荐"/>
    <w:p>
      <w:pPr>
        <w:pStyle w:val="Heading3"/>
      </w:pPr>
      <w:r>
        <w:t xml:space="preserve">Docker 部署（推荐）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36"/>
    <w:bookmarkStart w:id="37" w:name="环境要求"/>
    <w:p>
      <w:pPr>
        <w:pStyle w:val="Heading3"/>
      </w:pPr>
      <w:r>
        <w:t xml:space="preserve">环境要求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20.10+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p>
            <w:pPr>
              <w:pStyle w:val="Compact"/>
              <w:jc w:val="left"/>
            </w:pPr>
            <w:r>
              <w:t xml:space="preserve">2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磁盘</w:t>
            </w:r>
          </w:p>
        </w:tc>
        <w:tc>
          <w:p>
            <w:pPr>
              <w:pStyle w:val="Compact"/>
              <w:jc w:val="left"/>
            </w:pPr>
            <w:r>
              <w:t xml:space="preserve">2 GB（含模型工件）</w:t>
            </w:r>
          </w:p>
        </w:tc>
      </w:tr>
    </w:tbl>
    <w:bookmarkEnd w:id="37"/>
    <w:bookmarkStart w:id="38" w:name="关键配置"/>
    <w:p>
      <w:pPr>
        <w:pStyle w:val="Heading3"/>
      </w:pPr>
      <w:r>
        <w:t xml:space="preserve">关键配置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MODEL_DEVICE</w:t>
            </w:r>
          </w:p>
        </w:tc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推理设备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USE_BACKUP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false=TabPFN 主模型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ALLOWED_ORIGINS</w:t>
            </w:r>
          </w:p>
        </w:tc>
        <w:tc>
          <w:p>
            <w:pPr>
              <w:pStyle w:val="Compact"/>
              <w:jc w:val="left"/>
            </w:pPr>
            <w:r>
              <w:t xml:space="preserve">localhost:3000</w:t>
            </w:r>
          </w:p>
        </w:tc>
        <w:tc>
          <w:p>
            <w:pPr>
              <w:pStyle w:val="Compact"/>
              <w:jc w:val="left"/>
            </w:pPr>
            <w:r>
              <w:t xml:space="preserve">CORS 白名单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七测试"/>
    <w:p>
      <w:pPr>
        <w:pStyle w:val="Heading2"/>
      </w:pPr>
      <w:r>
        <w:t xml:space="preserve">七、测试</w:t>
      </w:r>
    </w:p>
    <w:p>
      <w:pPr>
        <w:pStyle w:val="FirstParagraph"/>
      </w:pPr>
      <w:r>
        <w:t xml:space="preserve">91 个测试全部通过，覆盖 API、推理引擎、优化器、特征工程、数据加载、模型管理、成本计算、泵换算、在线历史、配置文件。</w:t>
      </w:r>
    </w:p>
    <w:p>
      <w:r>
        <w:pict>
          <v:rect style="width:0;height:1.5pt" o:hralign="center" o:hrstd="t" o:hr="t"/>
        </w:pict>
      </w:r>
    </w:p>
    <w:bookmarkEnd w:id="40"/>
    <w:bookmarkStart w:id="41" w:name="八已修复问题"/>
    <w:p>
      <w:pPr>
        <w:pStyle w:val="Heading2"/>
      </w:pPr>
      <w:r>
        <w:t xml:space="preserve">八、已修复问题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修复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优化器 TabPFN 复核后约束重检</w:t>
            </w:r>
          </w:p>
        </w:tc>
        <w:tc>
          <w:p>
            <w:pPr>
              <w:pStyle w:val="Compact"/>
              <w:jc w:val="left"/>
            </w:pPr>
            <w:r>
              <w:t xml:space="preserve">复核后按模式约束重新选择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重排序取第一而非最优</w:t>
            </w:r>
          </w:p>
        </w:tc>
        <w:tc>
          <w:p>
            <w:pPr>
              <w:pStyle w:val="Compact"/>
              <w:jc w:val="left"/>
            </w:pPr>
            <w:r>
              <w:t xml:space="preserve">改为遍历所有备选取风险最低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异常回退路径不一致</w:t>
            </w:r>
          </w:p>
        </w:tc>
        <w:tc>
          <w:p>
            <w:pPr>
              <w:pStyle w:val="Compact"/>
              <w:jc w:val="left"/>
            </w:pPr>
            <w:r>
              <w:t xml:space="preserve">XGBoost 无条件可用，与主路径一致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predict_batch 逐条重复特征工程</w:t>
            </w:r>
          </w:p>
        </w:tc>
        <w:tc>
          <w:p>
            <w:pPr>
              <w:pStyle w:val="Compact"/>
              <w:jc w:val="left"/>
            </w:pPr>
            <w:r>
              <w:t xml:space="preserve">改为一次构建 + 批量预测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超时事后方检查</w:t>
            </w:r>
          </w:p>
        </w:tc>
        <w:tc>
          <w:p>
            <w:pPr>
              <w:pStyle w:val="Compact"/>
              <w:jc w:val="left"/>
            </w:pPr>
            <w:r>
              <w:t xml:space="preserve">改为 ThreadPoolExecutor 抢占式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数值范围过宽</w:t>
            </w:r>
          </w:p>
        </w:tc>
        <w:tc>
          <w:p>
            <w:pPr>
              <w:pStyle w:val="Compact"/>
              <w:jc w:val="left"/>
            </w:pPr>
            <w:r>
              <w:t xml:space="preserve">按中试实际分布收紧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lag 头部低置信度</w:t>
            </w:r>
          </w:p>
        </w:tc>
        <w:tc>
          <w:p>
            <w:pPr>
              <w:pStyle w:val="Compact"/>
              <w:jc w:val="left"/>
            </w:pPr>
            <w:r>
              <w:t xml:space="preserve">历史不足时标记 low_confidence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反馈未区分推荐/实际</w:t>
            </w:r>
          </w:p>
        </w:tc>
        <w:tc>
          <w:p>
            <w:pPr>
              <w:pStyle w:val="Compact"/>
              <w:jc w:val="left"/>
            </w:pPr>
            <w:r>
              <w:t xml:space="preserve">新增 executed_dose 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PAM 默认值偏低</w:t>
            </w:r>
          </w:p>
        </w:tc>
        <w:tc>
          <w:p>
            <w:pPr>
              <w:pStyle w:val="Compact"/>
              <w:jc w:val="left"/>
            </w:pPr>
            <w:r>
              <w:t xml:space="preserve">0.5→4.0 对齐中试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九后续工作"/>
    <w:p>
      <w:pPr>
        <w:pStyle w:val="Heading2"/>
      </w:pPr>
      <w:r>
        <w:t xml:space="preserve">九、后续工作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真实数据重训模型</w:t>
      </w:r>
      <w:r>
        <w:t xml:space="preserve">：当前模型基于模拟数据，需用生产数据重训提高精度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模型更新管线接入</w:t>
      </w:r>
      <w:r>
        <w:t xml:space="preserve">：工控机数据定时拉取 → 重训 → 自动发布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甲方确认除氟剂单位</w:t>
      </w:r>
      <w:r>
        <w:t xml:space="preserve">：确认 PLC 寄存器值的物理含义（不阻塞部署）</w:t>
      </w:r>
    </w:p>
    <w:p>
      <w:r>
        <w:pict>
          <v:rect style="width:0;height:1.5pt" o:hralign="center" o:hrstd="t" o:hr="t"/>
        </w:pict>
      </w:r>
    </w:p>
    <w:bookmarkEnd w:id="42"/>
    <w:bookmarkStart w:id="43" w:name="十项目文件"/>
    <w:p>
      <w:pPr>
        <w:pStyle w:val="Heading2"/>
      </w:pPr>
      <w:r>
        <w:t xml:space="preserve">十、项目文件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</w:t>
            </w:r>
          </w:p>
        </w:tc>
        <w:tc>
          <w:p>
            <w:pPr>
              <w:pStyle w:val="Compact"/>
              <w:jc w:val="left"/>
            </w:pPr>
            <w:r>
              <w:t xml:space="preserve">配置、数据类型、特征工程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serving/</w:t>
            </w:r>
          </w:p>
        </w:tc>
        <w:tc>
          <w:p>
            <w:pPr>
              <w:pStyle w:val="Compact"/>
              <w:jc w:val="left"/>
            </w:pPr>
            <w:r>
              <w:t xml:space="preserve">API 服务、推理引擎、优化器、成本/泵计算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training/</w:t>
            </w:r>
          </w:p>
        </w:tc>
        <w:tc>
          <w:p>
            <w:pPr>
              <w:pStyle w:val="Compact"/>
              <w:jc w:val="left"/>
            </w:pPr>
            <w:r>
              <w:t xml:space="preserve">数据加载、训练管线、模型注册、更新调度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p>
            <w:pPr>
              <w:pStyle w:val="Compact"/>
              <w:jc w:val="left"/>
            </w:pPr>
            <w:r>
              <w:t xml:space="preserve">19 个测试模块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</w:t>
            </w:r>
          </w:p>
        </w:tc>
        <w:tc>
          <w:p>
            <w:pPr>
              <w:pStyle w:val="Compact"/>
              <w:jc w:val="left"/>
            </w:pPr>
            <w:r>
              <w:t xml:space="preserve">已训练模型工件（TabPFN + XGBoost）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</w:p>
        </w:tc>
        <w:tc>
          <w:p>
            <w:pPr>
              <w:pStyle w:val="Compact"/>
              <w:jc w:val="left"/>
            </w:pPr>
            <w:r>
              <w:t xml:space="preserve">Docker 镜像构建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p>
            <w:pPr>
              <w:pStyle w:val="Compact"/>
              <w:jc w:val="left"/>
            </w:pPr>
            <w:r>
              <w:t xml:space="preserve">容器编排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p>
            <w:pPr>
              <w:pStyle w:val="Compact"/>
              <w:jc w:val="left"/>
            </w:pPr>
            <w:r>
              <w:t xml:space="preserve">Python 依赖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使用手册.docx</w:t>
            </w:r>
          </w:p>
        </w:tc>
        <w:tc>
          <w:p>
            <w:pPr>
              <w:pStyle w:val="Compact"/>
              <w:jc w:val="left"/>
            </w:pPr>
            <w:r>
              <w:t xml:space="preserve">部署与使用说明</w:t>
            </w:r>
          </w:p>
        </w:tc>
      </w:tr>
    </w:tbl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2026-06-22T08:32:15Z</dcterms:created>
  <dcterms:modified xsi:type="dcterms:W3CDTF">2026-06-22T08:32:15Z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