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10.14</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bookmarkStart w:id="82" w:name="_GoBack"/>
            <w:bookmarkEnd w:id="82"/>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6666"/>
      <w:bookmarkStart w:id="4" w:name="_Toc188426549"/>
      <w:bookmarkStart w:id="5" w:name="_Toc188433579"/>
      <w:bookmarkStart w:id="6" w:name="_Toc188426324"/>
      <w:bookmarkStart w:id="7" w:name="_Toc188427218"/>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3360"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jc w:val="center"/>
      </w:pPr>
      <w:r>
        <w:drawing>
          <wp:inline distT="0" distB="0" distL="114300" distR="114300">
            <wp:extent cx="4639945" cy="4253865"/>
            <wp:effectExtent l="0" t="0" r="825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tretch>
                      <a:fillRect/>
                    </a:stretch>
                  </pic:blipFill>
                  <pic:spPr>
                    <a:xfrm>
                      <a:off x="0" y="0"/>
                      <a:ext cx="4639945" cy="4253865"/>
                    </a:xfrm>
                    <a:prstGeom prst="rect">
                      <a:avLst/>
                    </a:prstGeom>
                    <a:noFill/>
                    <a:ln>
                      <a:noFill/>
                    </a:ln>
                  </pic:spPr>
                </pic:pic>
              </a:graphicData>
            </a:graphic>
          </wp:inline>
        </w:drawing>
      </w:r>
    </w:p>
    <w:p w14:paraId="5B3C0BCA">
      <w:pPr>
        <w:ind w:firstLine="420"/>
        <w:jc w:val="center"/>
        <w:rPr>
          <w:sz w:val="21"/>
          <w:szCs w:val="21"/>
        </w:rPr>
      </w:pPr>
      <w:r>
        <w:rPr>
          <w:sz w:val="21"/>
          <w:szCs w:val="21"/>
        </w:rPr>
        <w:t>图 4.</w:t>
      </w:r>
      <w:r>
        <w:rPr>
          <w:rFonts w:hint="eastAsia"/>
          <w:sz w:val="21"/>
          <w:szCs w:val="21"/>
          <w:lang w:val="en-US" w:eastAsia="zh-CN"/>
        </w:rPr>
        <w:t>7</w:t>
      </w:r>
      <w:r>
        <w:rPr>
          <w:sz w:val="21"/>
          <w:szCs w:val="21"/>
        </w:rPr>
        <w:t xml:space="preserve"> </w:t>
      </w:r>
      <w:r>
        <w:rPr>
          <w:rFonts w:hint="eastAsia"/>
          <w:sz w:val="21"/>
          <w:szCs w:val="21"/>
          <w:lang w:val="en-US" w:eastAsia="zh-CN"/>
        </w:rPr>
        <w:t>订单查询</w:t>
      </w:r>
      <w:r>
        <w:rPr>
          <w:sz w:val="21"/>
          <w:szCs w:val="21"/>
        </w:rPr>
        <w:t>流程图</w:t>
      </w:r>
    </w:p>
    <w:p w14:paraId="0AC4C548">
      <w:pPr>
        <w:jc w:val="cente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inline distT="0" distB="0" distL="114300" distR="114300">
            <wp:extent cx="5753100" cy="3761740"/>
            <wp:effectExtent l="0" t="0" r="7620" b="2540"/>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28"/>
                    <a:stretch>
                      <a:fillRect/>
                    </a:stretch>
                  </pic:blipFill>
                  <pic:spPr>
                    <a:xfrm>
                      <a:off x="0" y="0"/>
                      <a:ext cx="5753100" cy="3761740"/>
                    </a:xfrm>
                    <a:prstGeom prst="rect">
                      <a:avLst/>
                    </a:prstGeom>
                    <a:noFill/>
                    <a:ln>
                      <a:noFill/>
                    </a:ln>
                  </pic:spPr>
                </pic:pic>
              </a:graphicData>
            </a:graphic>
          </wp:inline>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w:t>
      </w:r>
      <w:r>
        <w:rPr>
          <w:rFonts w:hint="eastAsia"/>
          <w:lang w:eastAsia="zh-CN"/>
        </w:rPr>
        <w:t>物料</w:t>
      </w:r>
      <w:r>
        <w:t>信息，包括名称、库存数量及所在仓库；warehouses表存储仓库信息；suppliers表存储</w:t>
      </w:r>
      <w:r>
        <w:rPr>
          <w:rFonts w:hint="eastAsia"/>
          <w:lang w:eastAsia="zh-CN"/>
        </w:rPr>
        <w:t>供应商</w:t>
      </w:r>
      <w:r>
        <w:t>信息；inventory_records表记录</w:t>
      </w:r>
      <w:r>
        <w:rPr>
          <w:rFonts w:hint="eastAsia"/>
          <w:lang w:eastAsia="zh-CN"/>
        </w:rPr>
        <w:t>物料</w:t>
      </w:r>
      <w:r>
        <w:t>的入库和出库操作，包括操作类型、数量和执行人员，入库记为正数、出库记为负数，是系统最核心的数据表；part_categories表用于对</w:t>
      </w:r>
      <w:r>
        <w:rPr>
          <w:rFonts w:hint="eastAsia"/>
          <w:lang w:eastAsia="zh-CN"/>
        </w:rPr>
        <w:t>物料</w:t>
      </w:r>
      <w:r>
        <w:t>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1"/>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80"/>
        <w:gridCol w:w="2151"/>
        <w:gridCol w:w="1697"/>
        <w:gridCol w:w="1697"/>
        <w:gridCol w:w="1736"/>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 xml:space="preserve">4.4.2 </w:t>
      </w:r>
      <w:r>
        <w:rPr>
          <w:rFonts w:hint="eastAsia"/>
          <w:lang w:eastAsia="zh-CN"/>
        </w:rPr>
        <w:t>物料</w:t>
      </w:r>
      <w:r>
        <w:t>管理表</w:t>
      </w:r>
      <w:bookmarkEnd w:id="50"/>
    </w:p>
    <w:p w14:paraId="40B08001">
      <w:r>
        <w:rPr>
          <w:rFonts w:hint="eastAsia"/>
          <w:lang w:eastAsia="zh-CN"/>
        </w:rPr>
        <w:t>物料</w:t>
      </w:r>
      <w:r>
        <w:t>管理表记录仓库中存放的</w:t>
      </w:r>
      <w:r>
        <w:rPr>
          <w:rFonts w:hint="eastAsia"/>
          <w:lang w:eastAsia="zh-CN"/>
        </w:rPr>
        <w:t>物料</w:t>
      </w:r>
      <w:r>
        <w:t>信息，如名称、库存数量、所属仓库及</w:t>
      </w:r>
      <w:r>
        <w:rPr>
          <w:rFonts w:hint="eastAsia"/>
          <w:lang w:val="en-US" w:eastAsia="zh-CN"/>
        </w:rPr>
        <w:t>当前库存等</w:t>
      </w:r>
      <w:r>
        <w:t>。如表4.2所示。</w:t>
      </w:r>
    </w:p>
    <w:p w14:paraId="4E2B6DEB">
      <w:r>
        <w:t>表4.2</w:t>
      </w:r>
      <w:r>
        <w:rPr>
          <w:rFonts w:hint="eastAsia"/>
          <w:lang w:eastAsia="zh-CN"/>
        </w:rPr>
        <w:t>物料</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63"/>
        <w:gridCol w:w="2046"/>
        <w:gridCol w:w="1716"/>
        <w:gridCol w:w="1718"/>
        <w:gridCol w:w="1718"/>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rFonts w:hint="eastAsia"/>
                <w:sz w:val="21"/>
                <w:szCs w:val="21"/>
                <w:lang w:eastAsia="zh-CN"/>
              </w:rPr>
              <w:t>物料</w:t>
            </w:r>
            <w:r>
              <w:rPr>
                <w:sz w:val="21"/>
                <w:szCs w:val="21"/>
              </w:rPr>
              <w:t xml:space="preserve">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rFonts w:hint="eastAsia"/>
                <w:sz w:val="21"/>
                <w:szCs w:val="21"/>
                <w:lang w:eastAsia="zh-CN"/>
              </w:rPr>
              <w:t>物料</w:t>
            </w:r>
            <w:r>
              <w:rPr>
                <w:sz w:val="21"/>
                <w:szCs w:val="21"/>
              </w:rPr>
              <w:t>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w:t>
      </w:r>
      <w:r>
        <w:rPr>
          <w:rFonts w:hint="eastAsia"/>
          <w:lang w:eastAsia="zh-CN"/>
        </w:rPr>
        <w:t>物料</w:t>
      </w:r>
      <w:r>
        <w:t>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04"/>
        <w:gridCol w:w="2046"/>
        <w:gridCol w:w="1737"/>
        <w:gridCol w:w="1737"/>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rFonts w:hint="eastAsia"/>
                <w:sz w:val="21"/>
                <w:szCs w:val="21"/>
                <w:lang w:eastAsia="zh-CN"/>
              </w:rPr>
              <w:t>物料</w:t>
            </w:r>
            <w:r>
              <w:rPr>
                <w:sz w:val="21"/>
                <w:szCs w:val="21"/>
              </w:rPr>
              <w:t xml:space="preserve">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54"/>
        <w:gridCol w:w="2151"/>
        <w:gridCol w:w="1585"/>
        <w:gridCol w:w="1585"/>
        <w:gridCol w:w="1586"/>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 xml:space="preserve">4.4.5 </w:t>
      </w:r>
      <w:r>
        <w:rPr>
          <w:rFonts w:hint="eastAsia"/>
          <w:lang w:eastAsia="zh-CN"/>
        </w:rPr>
        <w:t>供应商</w:t>
      </w:r>
      <w:r>
        <w:t>管理表</w:t>
      </w:r>
      <w:bookmarkEnd w:id="53"/>
    </w:p>
    <w:p w14:paraId="1E05A330">
      <w:r>
        <w:rPr>
          <w:rFonts w:hint="eastAsia"/>
          <w:lang w:eastAsia="zh-CN"/>
        </w:rPr>
        <w:t>供应商</w:t>
      </w:r>
      <w:r>
        <w:t>管理表存储供应商的基本信息，包括名称、联系人、电话和地址等。如表4.5 所示。</w:t>
      </w:r>
    </w:p>
    <w:p w14:paraId="59523BE8">
      <w:r>
        <w:t>表4.5</w:t>
      </w:r>
      <w:r>
        <w:rPr>
          <w:rFonts w:hint="eastAsia"/>
          <w:lang w:eastAsia="zh-CN"/>
        </w:rPr>
        <w:t>供应商</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68"/>
        <w:gridCol w:w="2151"/>
        <w:gridCol w:w="1647"/>
        <w:gridCol w:w="1647"/>
        <w:gridCol w:w="1648"/>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73"/>
        <w:gridCol w:w="2151"/>
        <w:gridCol w:w="1712"/>
        <w:gridCol w:w="1712"/>
        <w:gridCol w:w="1713"/>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257DE9A8"/>
    <w:p w14:paraId="3FBC202B">
      <w:r>
        <w:drawing>
          <wp:inline distT="0" distB="0" distL="114300" distR="114300">
            <wp:extent cx="5754370" cy="4984750"/>
            <wp:effectExtent l="0" t="0" r="11430" b="635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32"/>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9525" b="571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33"/>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6350" b="825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34"/>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1905" b="1016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35"/>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0" b="698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36"/>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8255" b="317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37"/>
                    <a:stretch>
                      <a:fillRect/>
                    </a:stretch>
                  </pic:blipFill>
                  <pic:spPr>
                    <a:xfrm>
                      <a:off x="0" y="0"/>
                      <a:ext cx="5757545" cy="4949825"/>
                    </a:xfrm>
                    <a:prstGeom prst="rect">
                      <a:avLst/>
                    </a:prstGeom>
                    <a:noFill/>
                    <a:ln>
                      <a:noFill/>
                    </a:ln>
                  </pic:spPr>
                </pic:pic>
              </a:graphicData>
            </a:graphic>
          </wp:inline>
        </w:drawing>
      </w:r>
    </w:p>
    <w:p w14:paraId="406E3036">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12065" b="4445"/>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38"/>
                    <a:stretch>
                      <a:fillRect/>
                    </a:stretch>
                  </pic:blipFill>
                  <pic:spPr>
                    <a:xfrm>
                      <a:off x="0" y="0"/>
                      <a:ext cx="5753735" cy="3602355"/>
                    </a:xfrm>
                    <a:prstGeom prst="rect">
                      <a:avLst/>
                    </a:prstGeom>
                    <a:noFill/>
                    <a:ln>
                      <a:noFill/>
                    </a:ln>
                  </pic:spPr>
                </pic:pic>
              </a:graphicData>
            </a:graphic>
          </wp:inline>
        </w:drawing>
      </w:r>
    </w:p>
    <w:p w14:paraId="4B1AD234">
      <w:pPr>
        <w:ind w:firstLine="420"/>
        <w:jc w:val="center"/>
        <w:rPr>
          <w:bCs/>
          <w:sz w:val="21"/>
          <w:szCs w:val="21"/>
        </w:rPr>
      </w:pPr>
      <w:r>
        <w:rPr>
          <w:bCs/>
          <w:sz w:val="21"/>
          <w:szCs w:val="21"/>
        </w:rPr>
        <w:t>图 5.3 人员管理界面</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12065" b="2540"/>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39"/>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6350" b="254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40"/>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10160" b="1143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41"/>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9525" b="10795"/>
            <wp:docPr id="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
                    <pic:cNvPicPr>
                      <a:picLocks noChangeAspect="1"/>
                    </pic:cNvPicPr>
                  </pic:nvPicPr>
                  <pic:blipFill>
                    <a:blip r:embed="rId42"/>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12065" b="381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43"/>
                    <a:stretch>
                      <a:fillRect/>
                    </a:stretch>
                  </pic:blipFill>
                  <pic:spPr>
                    <a:xfrm>
                      <a:off x="0" y="0"/>
                      <a:ext cx="5753735" cy="3361690"/>
                    </a:xfrm>
                    <a:prstGeom prst="rect">
                      <a:avLst/>
                    </a:prstGeom>
                    <a:noFill/>
                    <a:ln>
                      <a:noFill/>
                    </a:ln>
                  </pic:spPr>
                </pic:pic>
              </a:graphicData>
            </a:graphic>
          </wp:inline>
        </w:drawing>
      </w:r>
    </w:p>
    <w:p w14:paraId="49DD7B06">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8890" b="8255"/>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44"/>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53ACCBAA">
      <w:pPr>
        <w:ind w:firstLine="420"/>
        <w:jc w:val="center"/>
      </w:pPr>
      <w:r>
        <w:rPr>
          <w:bCs/>
          <w:sz w:val="21"/>
          <w:szCs w:val="21"/>
        </w:rPr>
        <w:t>图 5.4 商品入库界面</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10160" b="5080"/>
            <wp:docPr id="3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4"/>
                    <pic:cNvPicPr>
                      <a:picLocks noChangeAspect="1"/>
                    </pic:cNvPicPr>
                  </pic:nvPicPr>
                  <pic:blipFill>
                    <a:blip r:embed="rId45"/>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6985" b="6350"/>
            <wp:docPr id="3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5"/>
                    <pic:cNvPicPr>
                      <a:picLocks noChangeAspect="1"/>
                    </pic:cNvPicPr>
                  </pic:nvPicPr>
                  <pic:blipFill>
                    <a:blip r:embed="rId46"/>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6350" b="9525"/>
            <wp:docPr id="3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6"/>
                    <pic:cNvPicPr>
                      <a:picLocks noChangeAspect="1"/>
                    </pic:cNvPicPr>
                  </pic:nvPicPr>
                  <pic:blipFill>
                    <a:blip r:embed="rId47"/>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8255" b="1270"/>
            <wp:docPr id="3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7"/>
                    <pic:cNvPicPr>
                      <a:picLocks noChangeAspect="1"/>
                    </pic:cNvPicPr>
                  </pic:nvPicPr>
                  <pic:blipFill>
                    <a:blip r:embed="rId48"/>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11430" b="8890"/>
            <wp:docPr id="3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8"/>
                    <pic:cNvPicPr>
                      <a:picLocks noChangeAspect="1"/>
                    </pic:cNvPicPr>
                  </pic:nvPicPr>
                  <pic:blipFill>
                    <a:blip r:embed="rId49"/>
                    <a:stretch>
                      <a:fillRect/>
                    </a:stretch>
                  </pic:blipFill>
                  <pic:spPr>
                    <a:xfrm>
                      <a:off x="0" y="0"/>
                      <a:ext cx="5754370" cy="3153410"/>
                    </a:xfrm>
                    <a:prstGeom prst="rect">
                      <a:avLst/>
                    </a:prstGeom>
                    <a:noFill/>
                    <a:ln>
                      <a:noFill/>
                    </a:ln>
                  </pic:spPr>
                </pic:pic>
              </a:graphicData>
            </a:graphic>
          </wp:inline>
        </w:drawing>
      </w:r>
    </w:p>
    <w:p w14:paraId="59F92542">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3810" b="4445"/>
            <wp:docPr id="3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9"/>
                    <pic:cNvPicPr>
                      <a:picLocks noChangeAspect="1"/>
                    </pic:cNvPicPr>
                  </pic:nvPicPr>
                  <pic:blipFill>
                    <a:blip r:embed="rId50"/>
                    <a:stretch>
                      <a:fillRect/>
                    </a:stretch>
                  </pic:blipFill>
                  <pic:spPr>
                    <a:xfrm>
                      <a:off x="0" y="0"/>
                      <a:ext cx="5749290" cy="3716655"/>
                    </a:xfrm>
                    <a:prstGeom prst="rect">
                      <a:avLst/>
                    </a:prstGeom>
                    <a:noFill/>
                    <a:ln>
                      <a:noFill/>
                    </a:ln>
                  </pic:spPr>
                </pic:pic>
              </a:graphicData>
            </a:graphic>
          </wp:inline>
        </w:drawing>
      </w:r>
    </w:p>
    <w:p w14:paraId="069C095D">
      <w:pPr>
        <w:ind w:firstLine="420"/>
        <w:jc w:val="center"/>
        <w:rPr>
          <w:bCs/>
          <w:sz w:val="21"/>
          <w:szCs w:val="21"/>
        </w:rPr>
      </w:pPr>
      <w:r>
        <w:rPr>
          <w:bCs/>
          <w:sz w:val="21"/>
          <w:szCs w:val="21"/>
        </w:rPr>
        <w:t>图 5.5 商品出库界面</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7620" b="7620"/>
            <wp:docPr id="3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0"/>
                    <pic:cNvPicPr>
                      <a:picLocks noChangeAspect="1"/>
                    </pic:cNvPicPr>
                  </pic:nvPicPr>
                  <pic:blipFill>
                    <a:blip r:embed="rId51"/>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11430" b="12065"/>
            <wp:docPr id="3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1"/>
                    <pic:cNvPicPr>
                      <a:picLocks noChangeAspect="1"/>
                    </pic:cNvPicPr>
                  </pic:nvPicPr>
                  <pic:blipFill>
                    <a:blip r:embed="rId52"/>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6350"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2"/>
                    <pic:cNvPicPr>
                      <a:picLocks noChangeAspect="1"/>
                    </pic:cNvPicPr>
                  </pic:nvPicPr>
                  <pic:blipFill>
                    <a:blip r:embed="rId53"/>
                    <a:stretch>
                      <a:fillRect/>
                    </a:stretch>
                  </pic:blipFill>
                  <pic:spPr>
                    <a:xfrm>
                      <a:off x="0" y="0"/>
                      <a:ext cx="5759450" cy="3467100"/>
                    </a:xfrm>
                    <a:prstGeom prst="rect">
                      <a:avLst/>
                    </a:prstGeom>
                    <a:noFill/>
                    <a:ln>
                      <a:noFill/>
                    </a:ln>
                  </pic:spPr>
                </pic:pic>
              </a:graphicData>
            </a:graphic>
          </wp:inline>
        </w:drawing>
      </w:r>
    </w:p>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drawing>
          <wp:inline distT="0" distB="0" distL="114300" distR="114300">
            <wp:extent cx="5753735" cy="3683635"/>
            <wp:effectExtent l="0" t="0" r="12065" b="12065"/>
            <wp:docPr id="3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3"/>
                    <pic:cNvPicPr>
                      <a:picLocks noChangeAspect="1"/>
                    </pic:cNvPicPr>
                  </pic:nvPicPr>
                  <pic:blipFill>
                    <a:blip r:embed="rId54"/>
                    <a:stretch>
                      <a:fillRect/>
                    </a:stretch>
                  </pic:blipFill>
                  <pic:spPr>
                    <a:xfrm>
                      <a:off x="0" y="0"/>
                      <a:ext cx="5753735" cy="3683635"/>
                    </a:xfrm>
                    <a:prstGeom prst="rect">
                      <a:avLst/>
                    </a:prstGeom>
                    <a:noFill/>
                    <a:ln>
                      <a:noFill/>
                    </a:ln>
                  </pic:spPr>
                </pic:pic>
              </a:graphicData>
            </a:graphic>
          </wp:inline>
        </w:drawing>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D7A4D2E">
      <w:pPr>
        <w:pStyle w:val="3"/>
        <w:ind w:firstLine="0" w:firstLineChars="0"/>
      </w:pPr>
      <w:bookmarkStart w:id="62" w:name="_Toc238213972"/>
      <w:r>
        <w:rPr>
          <w:color w:val="000000"/>
        </w:rPr>
        <w:t>5.6 仓库管理模块实现</w:t>
      </w:r>
      <w:bookmarkEnd w:id="62"/>
    </w:p>
    <w:p w14:paraId="49FFE515">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7620" b="2540"/>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4"/>
                    <pic:cNvPicPr>
                      <a:picLocks noChangeAspect="1"/>
                    </pic:cNvPicPr>
                  </pic:nvPicPr>
                  <pic:blipFill>
                    <a:blip r:embed="rId55"/>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6350" b="2540"/>
            <wp:docPr id="4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5"/>
                    <pic:cNvPicPr>
                      <a:picLocks noChangeAspect="1"/>
                    </pic:cNvPicPr>
                  </pic:nvPicPr>
                  <pic:blipFill>
                    <a:blip r:embed="rId56"/>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7620" b="5715"/>
            <wp:docPr id="42"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6"/>
                    <pic:cNvPicPr>
                      <a:picLocks noChangeAspect="1"/>
                    </pic:cNvPicPr>
                  </pic:nvPicPr>
                  <pic:blipFill>
                    <a:blip r:embed="rId57"/>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10160" b="5080"/>
            <wp:docPr id="4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7"/>
                    <pic:cNvPicPr>
                      <a:picLocks noChangeAspect="1"/>
                    </pic:cNvPicPr>
                  </pic:nvPicPr>
                  <pic:blipFill>
                    <a:blip r:embed="rId58"/>
                    <a:stretch>
                      <a:fillRect/>
                    </a:stretch>
                  </pic:blipFill>
                  <pic:spPr>
                    <a:xfrm>
                      <a:off x="0" y="0"/>
                      <a:ext cx="5755640" cy="3576320"/>
                    </a:xfrm>
                    <a:prstGeom prst="rect">
                      <a:avLst/>
                    </a:prstGeom>
                    <a:noFill/>
                    <a:ln>
                      <a:noFill/>
                    </a:ln>
                  </pic:spPr>
                </pic:pic>
              </a:graphicData>
            </a:graphic>
          </wp:inline>
        </w:drawing>
      </w:r>
    </w:p>
    <w:p w14:paraId="7549EC65">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1905" b="6985"/>
            <wp:docPr id="4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8"/>
                    <pic:cNvPicPr>
                      <a:picLocks noChangeAspect="1"/>
                    </pic:cNvPicPr>
                  </pic:nvPicPr>
                  <pic:blipFill>
                    <a:blip r:embed="rId59"/>
                    <a:stretch>
                      <a:fillRect/>
                    </a:stretch>
                  </pic:blipFill>
                  <pic:spPr>
                    <a:xfrm>
                      <a:off x="0" y="0"/>
                      <a:ext cx="5751195" cy="2850515"/>
                    </a:xfrm>
                    <a:prstGeom prst="rect">
                      <a:avLst/>
                    </a:prstGeom>
                    <a:noFill/>
                    <a:ln>
                      <a:noFill/>
                    </a:ln>
                  </pic:spPr>
                </pic:pic>
              </a:graphicData>
            </a:graphic>
          </wp:inline>
        </w:drawing>
      </w:r>
    </w:p>
    <w:p w14:paraId="60AE1DDE">
      <w:pPr>
        <w:ind w:firstLine="420"/>
        <w:jc w:val="center"/>
        <w:rPr>
          <w:bCs/>
          <w:sz w:val="21"/>
          <w:szCs w:val="21"/>
        </w:rPr>
      </w:pPr>
      <w:r>
        <w:rPr>
          <w:bCs/>
          <w:sz w:val="21"/>
          <w:szCs w:val="21"/>
        </w:rPr>
        <w:t>图 5.7 仓库管理界面</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8890" b="254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9"/>
                    <pic:cNvPicPr>
                      <a:picLocks noChangeAspect="1"/>
                    </pic:cNvPicPr>
                  </pic:nvPicPr>
                  <pic:blipFill>
                    <a:blip r:embed="rId60"/>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10795" b="3175"/>
            <wp:docPr id="4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0"/>
                    <pic:cNvPicPr>
                      <a:picLocks noChangeAspect="1"/>
                    </pic:cNvPicPr>
                  </pic:nvPicPr>
                  <pic:blipFill>
                    <a:blip r:embed="rId61"/>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6350" b="6350"/>
            <wp:docPr id="4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1"/>
                    <pic:cNvPicPr>
                      <a:picLocks noChangeAspect="1"/>
                    </pic:cNvPicPr>
                  </pic:nvPicPr>
                  <pic:blipFill>
                    <a:blip r:embed="rId62"/>
                    <a:stretch>
                      <a:fillRect/>
                    </a:stretch>
                  </pic:blipFill>
                  <pic:spPr>
                    <a:xfrm>
                      <a:off x="0" y="0"/>
                      <a:ext cx="5759450" cy="4984750"/>
                    </a:xfrm>
                    <a:prstGeom prst="rect">
                      <a:avLst/>
                    </a:prstGeom>
                    <a:noFill/>
                    <a:ln>
                      <a:noFill/>
                    </a:ln>
                  </pic:spPr>
                </pic:pic>
              </a:graphicData>
            </a:graphic>
          </wp:inline>
        </w:drawing>
      </w:r>
    </w:p>
    <w:p w14:paraId="7ABBD949">
      <w:pPr>
        <w:ind w:firstLine="0" w:firstLineChars="0"/>
        <w:jc w:val="center"/>
        <w:rPr>
          <w:bCs/>
          <w:sz w:val="21"/>
          <w:szCs w:val="21"/>
        </w:rPr>
      </w:pPr>
      <w:r>
        <w:rPr>
          <w:bCs/>
          <w:sz w:val="21"/>
          <w:szCs w:val="21"/>
        </w:rPr>
        <w:t>代码 5.8 日志管理核心代码</w:t>
      </w:r>
    </w:p>
    <w:p w14:paraId="138BAFB2">
      <w:r>
        <w:drawing>
          <wp:inline distT="0" distB="0" distL="114300" distR="114300">
            <wp:extent cx="5755640" cy="2815590"/>
            <wp:effectExtent l="0" t="0" r="10160" b="3810"/>
            <wp:docPr id="48"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2"/>
                    <pic:cNvPicPr>
                      <a:picLocks noChangeAspect="1"/>
                    </pic:cNvPicPr>
                  </pic:nvPicPr>
                  <pic:blipFill>
                    <a:blip r:embed="rId63"/>
                    <a:stretch>
                      <a:fillRect/>
                    </a:stretch>
                  </pic:blipFill>
                  <pic:spPr>
                    <a:xfrm>
                      <a:off x="0" y="0"/>
                      <a:ext cx="5755640" cy="2815590"/>
                    </a:xfrm>
                    <a:prstGeom prst="rect">
                      <a:avLst/>
                    </a:prstGeom>
                    <a:noFill/>
                    <a:ln>
                      <a:noFill/>
                    </a:ln>
                  </pic:spPr>
                </pic:pic>
              </a:graphicData>
            </a:graphic>
          </wp:inline>
        </w:drawing>
      </w:r>
    </w:p>
    <w:p w14:paraId="70E001F9">
      <w:pPr>
        <w:ind w:firstLine="420"/>
        <w:jc w:val="center"/>
        <w:rPr>
          <w:bCs/>
          <w:sz w:val="21"/>
          <w:szCs w:val="21"/>
        </w:rPr>
      </w:pPr>
      <w:r>
        <w:rPr>
          <w:bCs/>
          <w:sz w:val="21"/>
          <w:szCs w:val="21"/>
        </w:rPr>
        <w:t>图 5.9 日志管理界面</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11430" b="1270"/>
            <wp:docPr id="49"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3"/>
                    <pic:cNvPicPr>
                      <a:picLocks noChangeAspect="1"/>
                    </pic:cNvPicPr>
                  </pic:nvPicPr>
                  <pic:blipFill>
                    <a:blip r:embed="rId64"/>
                    <a:stretch>
                      <a:fillRect/>
                    </a:stretch>
                  </pic:blipFill>
                  <pic:spPr>
                    <a:xfrm>
                      <a:off x="0" y="0"/>
                      <a:ext cx="5754370" cy="3884930"/>
                    </a:xfrm>
                    <a:prstGeom prst="rect">
                      <a:avLst/>
                    </a:prstGeom>
                    <a:noFill/>
                    <a:ln>
                      <a:noFill/>
                    </a:ln>
                  </pic:spPr>
                </pic:pic>
              </a:graphicData>
            </a:graphic>
          </wp:inline>
        </w:drawing>
      </w:r>
    </w:p>
    <w:p w14:paraId="58E3DE26">
      <w:pPr>
        <w:ind w:firstLine="420"/>
        <w:jc w:val="center"/>
        <w:rPr>
          <w:bCs/>
          <w:sz w:val="21"/>
          <w:szCs w:val="21"/>
        </w:rPr>
      </w:pPr>
      <w:r>
        <w:rPr>
          <w:bCs/>
          <w:sz w:val="21"/>
          <w:szCs w:val="21"/>
        </w:rPr>
        <w:t>代码 5.9 AI 智能助手核心代码</w:t>
      </w:r>
    </w:p>
    <w:p w14:paraId="38CE3CCF">
      <w:r>
        <w:drawing>
          <wp:inline distT="0" distB="0" distL="114300" distR="114300">
            <wp:extent cx="5758180" cy="2830195"/>
            <wp:effectExtent l="0" t="0" r="7620" b="1905"/>
            <wp:docPr id="50"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4"/>
                    <pic:cNvPicPr>
                      <a:picLocks noChangeAspect="1"/>
                    </pic:cNvPicPr>
                  </pic:nvPicPr>
                  <pic:blipFill>
                    <a:blip r:embed="rId65"/>
                    <a:stretch>
                      <a:fillRect/>
                    </a:stretch>
                  </pic:blipFill>
                  <pic:spPr>
                    <a:xfrm>
                      <a:off x="0" y="0"/>
                      <a:ext cx="5758180" cy="2830195"/>
                    </a:xfrm>
                    <a:prstGeom prst="rect">
                      <a:avLst/>
                    </a:prstGeom>
                    <a:noFill/>
                    <a:ln>
                      <a:noFill/>
                    </a:ln>
                  </pic:spPr>
                </pic:pic>
              </a:graphicData>
            </a:graphic>
          </wp:inline>
        </w:drawing>
      </w:r>
    </w:p>
    <w:p w14:paraId="5AFFA558">
      <w:pPr>
        <w:ind w:firstLine="420"/>
        <w:jc w:val="center"/>
        <w:rPr>
          <w:bCs/>
          <w:sz w:val="21"/>
          <w:szCs w:val="21"/>
        </w:rPr>
      </w:pPr>
      <w:r>
        <w:rPr>
          <w:bCs/>
          <w:sz w:val="21"/>
          <w:szCs w:val="21"/>
        </w:rPr>
        <w:t>图 5.10 AI 智能助手界面</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188433611"/>
      <w:bookmarkStart w:id="79" w:name="_Toc335598677"/>
      <w:bookmarkStart w:id="80" w:name="_Toc238213988"/>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Droid Sans Fallback">
    <w:altName w:val="宋体"/>
    <w:panose1 w:val="020B0502000000000001"/>
    <w:charset w:val="86"/>
    <w:family w:val="auto"/>
    <w:pitch w:val="default"/>
    <w:sig w:usb0="00000000" w:usb1="00000000" w:usb2="00000036" w:usb3="00000000" w:csb0="203F01FF" w:csb1="D7FF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53325AF"/>
    <w:rsid w:val="06CE4F44"/>
    <w:rsid w:val="06F16A01"/>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DA6419D"/>
    <w:rsid w:val="0E0A5DCA"/>
    <w:rsid w:val="0E0B2DA5"/>
    <w:rsid w:val="0E336CD8"/>
    <w:rsid w:val="0F7A3D2F"/>
    <w:rsid w:val="0FD2175C"/>
    <w:rsid w:val="10063C11"/>
    <w:rsid w:val="10BC04C1"/>
    <w:rsid w:val="11042C72"/>
    <w:rsid w:val="110F7B9B"/>
    <w:rsid w:val="11D27964"/>
    <w:rsid w:val="11F22FD3"/>
    <w:rsid w:val="12C47AD5"/>
    <w:rsid w:val="131B3DC4"/>
    <w:rsid w:val="1331204B"/>
    <w:rsid w:val="13A72019"/>
    <w:rsid w:val="13AC3BE8"/>
    <w:rsid w:val="143E42EA"/>
    <w:rsid w:val="148A1881"/>
    <w:rsid w:val="15A4012A"/>
    <w:rsid w:val="164819A1"/>
    <w:rsid w:val="168F3D98"/>
    <w:rsid w:val="169665D4"/>
    <w:rsid w:val="16AF095C"/>
    <w:rsid w:val="16CD6B0A"/>
    <w:rsid w:val="170E1BA7"/>
    <w:rsid w:val="17EE4314"/>
    <w:rsid w:val="19042F5D"/>
    <w:rsid w:val="19063631"/>
    <w:rsid w:val="19267CFE"/>
    <w:rsid w:val="1939750B"/>
    <w:rsid w:val="19843555"/>
    <w:rsid w:val="1AB4145B"/>
    <w:rsid w:val="1AC50F79"/>
    <w:rsid w:val="1B06067C"/>
    <w:rsid w:val="1B4E49A1"/>
    <w:rsid w:val="1B8F790E"/>
    <w:rsid w:val="1BD67A30"/>
    <w:rsid w:val="1C6B6D7C"/>
    <w:rsid w:val="1DD62D6D"/>
    <w:rsid w:val="1E0106F3"/>
    <w:rsid w:val="1F2D3BB3"/>
    <w:rsid w:val="1F3429DF"/>
    <w:rsid w:val="1F7E5757"/>
    <w:rsid w:val="1FD42B99"/>
    <w:rsid w:val="1FF9D454"/>
    <w:rsid w:val="2021397F"/>
    <w:rsid w:val="210E1B4B"/>
    <w:rsid w:val="211E74B7"/>
    <w:rsid w:val="21C22390"/>
    <w:rsid w:val="21D72A92"/>
    <w:rsid w:val="222F3627"/>
    <w:rsid w:val="223C0DE7"/>
    <w:rsid w:val="22734E06"/>
    <w:rsid w:val="22F517AC"/>
    <w:rsid w:val="2374EC01"/>
    <w:rsid w:val="2472601F"/>
    <w:rsid w:val="2477062B"/>
    <w:rsid w:val="24D42DD8"/>
    <w:rsid w:val="24DC0587"/>
    <w:rsid w:val="25224898"/>
    <w:rsid w:val="25430CB4"/>
    <w:rsid w:val="267045AB"/>
    <w:rsid w:val="26A1654E"/>
    <w:rsid w:val="27042E2E"/>
    <w:rsid w:val="27595CB7"/>
    <w:rsid w:val="27BA5D13"/>
    <w:rsid w:val="27D35027"/>
    <w:rsid w:val="27E702C7"/>
    <w:rsid w:val="28265475"/>
    <w:rsid w:val="283D6723"/>
    <w:rsid w:val="28431B9D"/>
    <w:rsid w:val="2A1C74B2"/>
    <w:rsid w:val="2A4E5F26"/>
    <w:rsid w:val="2A6A1C55"/>
    <w:rsid w:val="2A6A3DC3"/>
    <w:rsid w:val="2A8C6526"/>
    <w:rsid w:val="2ABB5F47"/>
    <w:rsid w:val="2ACD1B61"/>
    <w:rsid w:val="2B3F3F28"/>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BA24AF"/>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7ED69CE"/>
    <w:rsid w:val="385C1295"/>
    <w:rsid w:val="388D7E55"/>
    <w:rsid w:val="38F37A28"/>
    <w:rsid w:val="38F97C68"/>
    <w:rsid w:val="39FB601D"/>
    <w:rsid w:val="3A022537"/>
    <w:rsid w:val="3A3B4BEC"/>
    <w:rsid w:val="3A3D5F3D"/>
    <w:rsid w:val="3A8B419B"/>
    <w:rsid w:val="3AF78EED"/>
    <w:rsid w:val="3AFC5FE5"/>
    <w:rsid w:val="3AFD268F"/>
    <w:rsid w:val="3B674B7B"/>
    <w:rsid w:val="3B6761EB"/>
    <w:rsid w:val="3B6E080C"/>
    <w:rsid w:val="3B6FF6AB"/>
    <w:rsid w:val="3BCE3934"/>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0871FD"/>
    <w:rsid w:val="4A44000E"/>
    <w:rsid w:val="4A4D2B83"/>
    <w:rsid w:val="4A952667"/>
    <w:rsid w:val="4B5F409E"/>
    <w:rsid w:val="4B61433A"/>
    <w:rsid w:val="4BD40DF5"/>
    <w:rsid w:val="4C071150"/>
    <w:rsid w:val="4C4B63FF"/>
    <w:rsid w:val="4C6439A0"/>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2CD5231"/>
    <w:rsid w:val="5387496E"/>
    <w:rsid w:val="53894668"/>
    <w:rsid w:val="53BC2CAC"/>
    <w:rsid w:val="53EC720D"/>
    <w:rsid w:val="54380CE1"/>
    <w:rsid w:val="54A12F3D"/>
    <w:rsid w:val="54BF3DDF"/>
    <w:rsid w:val="54C636E0"/>
    <w:rsid w:val="54E717F9"/>
    <w:rsid w:val="54FD494A"/>
    <w:rsid w:val="554D53EC"/>
    <w:rsid w:val="555613AE"/>
    <w:rsid w:val="55705D34"/>
    <w:rsid w:val="55D62DB1"/>
    <w:rsid w:val="55DA33EB"/>
    <w:rsid w:val="561064BA"/>
    <w:rsid w:val="56576C9F"/>
    <w:rsid w:val="56927CD7"/>
    <w:rsid w:val="569B3F36"/>
    <w:rsid w:val="56A11479"/>
    <w:rsid w:val="56B063AF"/>
    <w:rsid w:val="56F6EA37"/>
    <w:rsid w:val="579655A5"/>
    <w:rsid w:val="58614E0C"/>
    <w:rsid w:val="587902B5"/>
    <w:rsid w:val="58C94423"/>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DA05CCA"/>
    <w:rsid w:val="5EBB1D2C"/>
    <w:rsid w:val="5EDF0EEF"/>
    <w:rsid w:val="5EFBC946"/>
    <w:rsid w:val="5F1C0A86"/>
    <w:rsid w:val="5F1F871C"/>
    <w:rsid w:val="5F7F596A"/>
    <w:rsid w:val="5FEB7D93"/>
    <w:rsid w:val="60335C18"/>
    <w:rsid w:val="605F4262"/>
    <w:rsid w:val="607A6756"/>
    <w:rsid w:val="609D22C5"/>
    <w:rsid w:val="60AB49A7"/>
    <w:rsid w:val="60F3411E"/>
    <w:rsid w:val="618C471E"/>
    <w:rsid w:val="61D8126B"/>
    <w:rsid w:val="61F1653A"/>
    <w:rsid w:val="622A4325"/>
    <w:rsid w:val="62D1527C"/>
    <w:rsid w:val="62F149A4"/>
    <w:rsid w:val="631A334E"/>
    <w:rsid w:val="63C761CB"/>
    <w:rsid w:val="6402249F"/>
    <w:rsid w:val="64025D70"/>
    <w:rsid w:val="64241F01"/>
    <w:rsid w:val="64514CBA"/>
    <w:rsid w:val="64950165"/>
    <w:rsid w:val="65271A83"/>
    <w:rsid w:val="6551131C"/>
    <w:rsid w:val="65F32814"/>
    <w:rsid w:val="66393CC2"/>
    <w:rsid w:val="668D3D49"/>
    <w:rsid w:val="668FC50D"/>
    <w:rsid w:val="66E45AA8"/>
    <w:rsid w:val="679FDA1B"/>
    <w:rsid w:val="67DB9B65"/>
    <w:rsid w:val="67FA1C7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0528C7"/>
    <w:rsid w:val="6F143B1F"/>
    <w:rsid w:val="6FC77480"/>
    <w:rsid w:val="6FCE1C7C"/>
    <w:rsid w:val="6FDD368B"/>
    <w:rsid w:val="6FFF244B"/>
    <w:rsid w:val="70596065"/>
    <w:rsid w:val="71435A18"/>
    <w:rsid w:val="71511AA9"/>
    <w:rsid w:val="7159356D"/>
    <w:rsid w:val="71A12926"/>
    <w:rsid w:val="735E4456"/>
    <w:rsid w:val="739774FE"/>
    <w:rsid w:val="73C3376E"/>
    <w:rsid w:val="74367917"/>
    <w:rsid w:val="747617DE"/>
    <w:rsid w:val="75501BFE"/>
    <w:rsid w:val="75973862"/>
    <w:rsid w:val="770C226C"/>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3D0A13"/>
    <w:rsid w:val="7DAF3037"/>
    <w:rsid w:val="7DF52764"/>
    <w:rsid w:val="7DFDF2DB"/>
    <w:rsid w:val="7E2045FF"/>
    <w:rsid w:val="7E4665A7"/>
    <w:rsid w:val="7E6A36E6"/>
    <w:rsid w:val="7E7EA911"/>
    <w:rsid w:val="7EBE8F94"/>
    <w:rsid w:val="7EC5669F"/>
    <w:rsid w:val="7EE71394"/>
    <w:rsid w:val="7EF97C90"/>
    <w:rsid w:val="7EFDA2E8"/>
    <w:rsid w:val="7F4673C2"/>
    <w:rsid w:val="7F6E3C22"/>
    <w:rsid w:val="7F7DFE9D"/>
    <w:rsid w:val="7FD15524"/>
    <w:rsid w:val="7FD79F5E"/>
    <w:rsid w:val="7FE53F9F"/>
    <w:rsid w:val="7FF16768"/>
    <w:rsid w:val="7FFE03B5"/>
    <w:rsid w:val="8D377446"/>
    <w:rsid w:val="8E3FC72C"/>
    <w:rsid w:val="8FFBA80C"/>
    <w:rsid w:val="936B857B"/>
    <w:rsid w:val="9E6EF832"/>
    <w:rsid w:val="ACED46C9"/>
    <w:rsid w:val="AD7F1778"/>
    <w:rsid w:val="AF2F4E73"/>
    <w:rsid w:val="AFFDA26D"/>
    <w:rsid w:val="B99F7E86"/>
    <w:rsid w:val="BBE2CCDD"/>
    <w:rsid w:val="BDDFBEF9"/>
    <w:rsid w:val="BE7B7429"/>
    <w:rsid w:val="BEFFEB11"/>
    <w:rsid w:val="BFBEBF1C"/>
    <w:rsid w:val="BFCBA4D8"/>
    <w:rsid w:val="C6699B89"/>
    <w:rsid w:val="D3DF4CF5"/>
    <w:rsid w:val="D7F71FD3"/>
    <w:rsid w:val="DE6DC8A5"/>
    <w:rsid w:val="DEBF6403"/>
    <w:rsid w:val="DEFFFC02"/>
    <w:rsid w:val="DF76D1A1"/>
    <w:rsid w:val="DFDEC519"/>
    <w:rsid w:val="DFFE846D"/>
    <w:rsid w:val="E73F6444"/>
    <w:rsid w:val="E7D14C88"/>
    <w:rsid w:val="E7FFAD2F"/>
    <w:rsid w:val="E7FFCFFF"/>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8" Type="http://schemas.openxmlformats.org/officeDocument/2006/relationships/fontTable" Target="fontTable.xml"/><Relationship Id="rId67" Type="http://schemas.openxmlformats.org/officeDocument/2006/relationships/customXml" Target="../customXml/item1.xml"/><Relationship Id="rId66" Type="http://schemas.openxmlformats.org/officeDocument/2006/relationships/numbering" Target="numbering.xml"/><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72</Pages>
  <Words>1671</Words>
  <Characters>4051</Characters>
  <Lines>198</Lines>
  <Paragraphs>55</Paragraphs>
  <TotalTime>12</TotalTime>
  <ScaleCrop>false</ScaleCrop>
  <LinksUpToDate>false</LinksUpToDate>
  <CharactersWithSpaces>4630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2025-02-09T00:57:00Z</dcterms:created>
  <dc:creator>wwj</dc:creator>
  <cp:lastModifiedBy>戢</cp:lastModifiedBy>
  <cp:lastPrinted>2017-11-16T17:42:00Z</cp:lastPrinted>
  <dcterms:modified xsi:type="dcterms:W3CDTF">2026-10-14T12:51:37Z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