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宋老师AICD讲课稿：逻辑评估与讲解指南</w:t>
      </w:r>
    </w:p>
    <w:p>
      <w:r>
        <w:t>本指南对应本次上传的47页PDF。听众包含临床老师、基础研究人员与学生；汇报时长尚未确认，以下暂按25–30分钟安排。每张重点图建议按“研究问题—关键观察—专业解释—证据边界”四步讲解，兼顾基础概念与方法严谨性。判断基于幻灯片、两篇提供的综述及可见图注；未获得演化分析原始数据、建树脚本、统计模型或完整方法，不能据此确认计算准确性或图中差异的统计显著性。</w:t>
      </w:r>
    </w:p>
    <w:p>
      <w:pPr>
        <w:pStyle w:val="Heading1"/>
      </w:pPr>
      <w:r>
        <w:t>一、总体判断</w:t>
      </w:r>
    </w:p>
    <w:p>
      <w:r>
        <w:t>有逻辑主线，但证据类型之间的连接需要补强：分子组件的演化来源 → ATP信号与死亡机制 → 骨细胞功能及骨重建变化。演化保守性不是骨质疏松机制的直接证据。讲稿需要把这个边界说清楚，而不是用“古老、保守”直接推出“引起疾病”。</w:t>
      </w:r>
    </w:p>
    <w:p>
      <w:r>
        <w:t>47页的分配：背景4页，演化与结构25页（第5–29页），通路示意11页（第30–40页），骨质疏松5页（第41–45页），成果与结束2页。疾病部分比重偏低，且尚无独立研究总结页。若保持全部页面，不应均分时间。建议演化分析只讲代表图，重复图转为备用；重点保留第41–45页。</w:t>
      </w:r>
    </w:p>
    <w:p>
      <w:r>
        <w:t>一句主线：ATP既是胞内能量分子，也是胞外信号；相关应激与死亡模块具有不同演化历史，在特定病理背景下，异常ATP信号可能影响骨细胞命运和功能，进而参与骨形成与骨吸收失衡。</w:t>
      </w:r>
    </w:p>
    <w:p>
      <w:pPr>
        <w:pStyle w:val="Heading1"/>
      </w:pPr>
      <w:r>
        <w:t>二、讲课前必须理解的概念</w:t>
      </w:r>
    </w:p>
    <w:p>
      <w:r>
        <w:t>1. 胞内ATP与胞外ATP：胞内ATP承担供能，缺乏可造成代谢危机；胞外ATP可由通道或损伤释放，作用于细胞表面受体。供能不足与胞外危险信号升高可以同时出现。</w:t>
      </w:r>
    </w:p>
    <w:p>
      <w:r>
        <w:t>2. AICD：这里指ATP相关信号诱导或促进的细胞死亡，用作上游刺激相关框架。它与焦亡、凋亡等执行方式不是同一分类层级，也不能说所有细胞死亡都由ATP引起。缩写本身在文献中有其他含义，首次出现务必给出英文全称。</w:t>
      </w:r>
    </w:p>
    <w:p>
      <w:r>
        <w:t>3. P2X与P2Y：P2X为离子通道型受体，P2Y为G蛋白偶联受体；不同亚型感知不同核苷酸并产生不同效应，不能统称为同一条P2X7通路。P2X7受ATP激活，可参与K+外流和其他离子变化。</w:t>
      </w:r>
    </w:p>
    <w:p>
      <w:r>
        <w:t>4. 线粒体和ROS：ROS增加可能构成应激和信号放大；单凭ROS升高不能确定死亡类型，也不能证明其是唯一上游原因。</w:t>
      </w:r>
    </w:p>
    <w:p>
      <w:r>
        <w:t>5. NLRP3与焦亡：预激活提高相关蛋白表达；激活过程促使NLRP3–ASC–caspase-1复合体形成。caspase-1可促进GSDMD切割和IL-1β/IL-18成熟，GSDMD形成膜孔。终末裂解还涉及其他机制；膜孔、炎症因子或NLRP3表达任一单项指标均不足以独立判定焦亡。</w:t>
      </w:r>
    </w:p>
    <w:p>
      <w:r>
        <w:t>6. BMSC、成骨细胞、骨细胞、破骨细胞：分别侧重成骨细胞来源、形成骨基质、感知和调节重建、吸收骨组织。破骨分化改变不等于细胞死亡；需要评价不同细胞对骨量变化的净贡献。</w:t>
      </w:r>
    </w:p>
    <w:p>
      <w:r>
        <w:t>7. 同源与功能：找到序列同源组分，只说明有相关分子基础，不证明完整通路已存在或具有相同功能。未检出可能受注释、基因组质量和搜索阈值影响，不必然是基因丢失。</w:t>
      </w:r>
    </w:p>
    <w:p>
      <w:r>
        <w:t>8. 系统发育树：节点表示推断的共同祖先，枝长的含义须按图例解释。第29页0.1标尺表示序列替换尺度，不能当成0.1亿年。现生物种不是排列在一条“由低到高”的直线进化路线。</w:t>
      </w:r>
    </w:p>
    <w:p>
      <w:r>
        <w:t>9. DTL：复制、丢失、转移是基因树与物种树模型调和推断的事件。转移尤其需核查树的支持度、比对质量、模型和污染等；不能仅凭软件计数就认定动物基因频繁水平转移。</w:t>
      </w:r>
    </w:p>
    <w:p>
      <w:r>
        <w:t>10. JS保守分数：评价序列位点相对参考分布的保守性，定义和方向取决于所用实现。按本稿标注，高分被解释为较保守；需确认计算方法。保守不等于表达高、活性强或对疾病更重要。</w:t>
      </w:r>
    </w:p>
    <w:p>
      <w:r>
        <w:t>11. dN/dS：dN是非同义替换率，dS是同义替换率。通常比值低于1与纯化选择相符，高于1需结合模型和统计检验评价正选择。人鼠成对整体比值无法独立揭示某个特定位点或谱系的选择情况。</w:t>
      </w:r>
    </w:p>
    <w:p>
      <w:r>
        <w:t>12. 自噬与死亡：出现自噬或LC3改变，不等于自噬依赖性细胞死亡；应证明干预自噬机制能够改变死亡结局。细胞萎缩、代谢改变和瘢痕形成也不是与凋亡同层级的死亡执行类型。</w:t>
      </w:r>
    </w:p>
    <w:p>
      <w:pPr>
        <w:pStyle w:val="Heading1"/>
      </w:pPr>
      <w:r>
        <w:t>三、建议讲述顺序与时间</w:t>
      </w:r>
    </w:p>
    <w:p>
      <w:r>
        <w:t>开场与问题（第1–4页，3分钟）→ 演化来源（代表第5、8、9、12、16、23页，7分钟）→ 两条代表机制（第30、32、40页，5分钟）→ 骨质疏松（第41–45页，9分钟）→ 总结与结束（2分钟）。第46页专著介绍控制在20–30秒，可置于总结之后。</w:t>
      </w:r>
    </w:p>
    <w:p>
      <w:r>
        <w:t>第10–15、17–29中与已讲结论重复的图，可转备用或一两句带过；第31、33–39页不建议逐箭头展开。若这是以演化研究为主的专门汇报，可保留更长的演化部分，但应提前说明重点和时间安排。</w:t>
      </w:r>
    </w:p>
    <w:p>
      <w:r>
        <w:t>不建议把“11类通路”当成11种平行死亡方式。第30–40页混合了死亡机制、代谢背景、细胞状态与组织反应。建议总称“ATP信号相关的死亡机制及应激背景”。</w:t>
      </w:r>
    </w:p>
    <w:p>
      <w:pPr>
        <w:pStyle w:val="Heading1"/>
      </w:pPr>
      <w:r>
        <w:t>四、四段关键衔接话术</w:t>
      </w:r>
    </w:p>
    <w:p>
      <w:r>
        <w:t>开场：“ATP通常被理解为能量货币。但当它释放到细胞外，就可以成为另一种信号。本次报告关注：这些信号如何与细胞死亡模块联系，它们的分子基础如何演化，以及在骨质疏松中可能发挥什么作用。”</w:t>
      </w:r>
    </w:p>
    <w:p>
      <w:r>
        <w:t>演化转机制：“前面回答的是相关组件如何形成和保留，而不是证明整条通路在每个物种中均已存在。下面回到哺乳动物细胞，讨论ATP信号如何在特定条件下连接应激与死亡执行。”</w:t>
      </w:r>
    </w:p>
    <w:p>
      <w:r>
        <w:t>机制转骨质疏松：“这些机制并非骨组织独有。对骨质疏松而言，关键问题是：哪些骨细胞受到影响，最终是否使骨形成与骨吸收失衡？下面将分别看成骨谱系、炎症通路及骨重建结果。”</w:t>
      </w:r>
    </w:p>
    <w:p>
      <w:r>
        <w:t>总结：“比较演化提供了分子组件的来源和保守性线索；现有模型支持P2X7及NLRP3等环节参与骨病理过程。完整的ATP暴露—细胞特异性死亡—骨表型因果链仍需要在同一模型中验证。”</w:t>
      </w:r>
    </w:p>
    <w:p>
      <w:pPr>
        <w:pStyle w:val="Heading1"/>
      </w:pPr>
      <w:r>
        <w:t>五、汇报前建议修改的地方</w:t>
      </w:r>
    </w:p>
    <w:p>
      <w:r>
        <w:t>- 第2页：骨质疏松章节标题重复，字母出现不自然间距；整理为一次标题，统一字体和文本框。</w:t>
      </w:r>
    </w:p>
    <w:p>
      <w:r>
        <w:t>- 第3页：将AICD–AICS连续谱注明为提出的概念框架，不说已普遍确立或必然转化。</w:t>
      </w:r>
    </w:p>
    <w:p>
      <w:r>
        <w:t>- 第4页：肿瘤背景与骨质疏松缺少连接，口头增加“这一双向性也适用于理解骨组织，但作用需在骨细胞中验证”。</w:t>
      </w:r>
    </w:p>
    <w:p>
      <w:r>
        <w:t>- 第5–15、22、24、27页：把“完整AICD机器形成”“证明阶梯式组装”改为“相关组件的分布支持分阶段招募假说”；说明不同基因并非只参与AICD。</w:t>
      </w:r>
    </w:p>
    <w:p>
      <w:r>
        <w:t>- 第10–11页：共演化、共现与基因组定位不能单独证明分子互作、通路顺序或反式调控。</w:t>
      </w:r>
    </w:p>
    <w:p>
      <w:r>
        <w:t>- 第12–15页：DTL事件是模型推断；动物基因水平转移需额外证据，不能强调“转移频繁”而不交代质量控制。</w:t>
      </w:r>
    </w:p>
    <w:p>
      <w:r>
        <w:t>- 第16–18、21、25–26页：保守性和三维位置提供结构线索，不能直接证明功能位点受选择性保留的机制或某个药物有效。</w:t>
      </w:r>
    </w:p>
    <w:p>
      <w:r>
        <w:t>- 第19页：PDB可用性首先反映结构数据覆盖，不是蛋白生物学重要性的直接指标。</w:t>
      </w:r>
    </w:p>
    <w:p>
      <w:r>
        <w:t>- 第23、28页：解释dN/dS与JS的不同，未给出检验时不要称为显著相关或正选择。</w:t>
      </w:r>
    </w:p>
    <w:p>
      <w:r>
        <w:t>- 第31页：“过度自噬导向ADCD”需有依赖性实验支持；讲成“自噬可能保护或参与损伤”。</w:t>
      </w:r>
    </w:p>
    <w:p>
      <w:r>
        <w:t>- 第33页：ATP相关模型图不能证明已组装特定PANoptosome或发生PANoptosis，保留“潜在交互机制”。</w:t>
      </w:r>
    </w:p>
    <w:p>
      <w:r>
        <w:t>- 第34页：删除或弱化普适阈值；不能说低胞外ATP必然触发凋亡。不同细胞、受体与培养条件决定作用。</w:t>
      </w:r>
    </w:p>
    <w:p>
      <w:r>
        <w:t>- 第37–39页：萎缩、瘢痕、周期改变和内质网应激属于状态或背景，避免统称死亡类型。</w:t>
      </w:r>
    </w:p>
    <w:p>
      <w:r>
        <w:t>- 第40页：“各类细胞死亡的共同上游基础”改为“ATP信号与多种死亡通路的潜在交互框架”；删除图中与学术内容无关的“GitHub仓库”字样。</w:t>
      </w:r>
    </w:p>
    <w:p>
      <w:r>
        <w:t>- 第43页：当前是原综述Figure 5，不能将其复合支路按经典NLRP3通路完整解释。优先换回规范重绘版，清楚区分caspase-1/GSDMD与其他支路。原图为文献示意，不是骨细胞实验结果。</w:t>
      </w:r>
    </w:p>
    <w:p>
      <w:r>
        <w:t>- 第45页：实验依据为综述引用的原始研究，勿称本团队原创实验或临床疗效证据。</w:t>
      </w:r>
    </w:p>
    <w:p>
      <w:r>
        <w:t>- 第46页之前增加总结页更好；若不修改页数，可在第45页末口头讲出上述三句总结。专著成果不能替代本报告的证据总结。</w:t>
      </w:r>
    </w:p>
    <w:p>
      <w:pPr>
        <w:pStyle w:val="Heading1"/>
      </w:pPr>
      <w:r>
        <w:t>六、看图的统一方法</w:t>
      </w:r>
    </w:p>
    <w:p>
      <w:r>
        <w:t>每张图只讲一个问题、一个关键观察和一个结论。先说“为什么看这张图”，再交代横纵轴、颜色或节点的含义，只指向支撑该观察的区域。最后补一句证据能支持到哪里。热图不要逐格读，系统树不要逐个物种读，机制图不要逐箭头读。不理解的统计值、符号或缩写必须先核对图例与原始方法，不临场猜测。</w:t>
      </w:r>
    </w:p>
    <w:p>
      <w:pPr>
        <w:pStyle w:val="Heading1"/>
      </w:pPr>
      <w:r>
        <w:t>七、常见提问与回答</w:t>
      </w:r>
    </w:p>
    <w:p>
      <w:r>
        <w:t>问：ATP到底保护细胞还是杀伤细胞？</w:t>
      </w:r>
    </w:p>
    <w:p>
      <w:r>
        <w:t>答：两者都可能。须区分胞内代谢与胞外信号，并看暴露强度、时程、受体谱和微环境。本报告关注异常ATP信号的病理作用，但不否认生理性促成骨作用。</w:t>
      </w:r>
    </w:p>
    <w:p>
      <w:r>
        <w:t>问：AICD是一种新的独立死亡方式吗？</w:t>
      </w:r>
    </w:p>
    <w:p>
      <w:r>
        <w:t>答：这里采用ATP相关信号作为上游刺激框架；下游可表现为不同已定义的执行方式。若要主张独立死亡类型，还需独特机制和判定标准的证据。</w:t>
      </w:r>
    </w:p>
    <w:p>
      <w:r>
        <w:t>问：演化分析为什么能说明骨质疏松？</w:t>
      </w:r>
    </w:p>
    <w:p>
      <w:r>
        <w:t>答：它说明候选分子的来源与保守性，并帮助形成机制假说；不能直接证明骨质疏松机制，需要骨细胞和骨疾病模型验证。</w:t>
      </w:r>
    </w:p>
    <w:p>
      <w:r>
        <w:t>问：所有ATP作用都通过P2X7吗？</w:t>
      </w:r>
    </w:p>
    <w:p>
      <w:r>
        <w:t>答：不是。还涉及其他P2X/P2Y亚型以及ATP代谢产物的受体；本报告聚焦P2X7，因为它与炎症、离子变化和死亡机制相关。</w:t>
      </w:r>
    </w:p>
    <w:p>
      <w:r>
        <w:t>问：破骨细胞死亡不应减少骨吸收吗？</w:t>
      </w:r>
    </w:p>
    <w:p>
      <w:r>
        <w:t>答：正因如此，应分别评价破骨分化、活性、存活和死亡。成骨端受损与破骨端活性增强可造成骨量下降；不能用所有细胞共同死亡解释。</w:t>
      </w:r>
    </w:p>
    <w:p>
      <w:r>
        <w:t>问：抑制NLRP3有效是否证明ATP是原因？</w:t>
      </w:r>
    </w:p>
    <w:p>
      <w:r>
        <w:t>答：不能。其他刺激也可影响NLRP3。需要测量ATP暴露、证实受体依赖性，并结合遗传干预或救援与骨终点。</w:t>
      </w:r>
    </w:p>
    <w:p>
      <w:r>
        <w:t>问：有没有人体疗效证据？</w:t>
      </w:r>
    </w:p>
    <w:p>
      <w:r>
        <w:t>答：本稿列出的相关证据主要为模型研究及综述整合，不足以确立ATP/P2X7/NLRP3靶向治疗骨质疏松的临床有效性。</w:t>
      </w:r>
    </w:p>
    <w:p>
      <w:r>
        <w:t>问：转移事件、JS分数、进化年龄具体怎么计算？</w:t>
      </w:r>
    </w:p>
    <w:p>
      <w:r>
        <w:t>答：应以实际分析方法和参数作答。若当前未准备好方法文件，可以诚实说明本次呈现的是初步比较结果或模型推断，避免提供自己未核对的参数、阈值和统计结论。</w:t>
      </w:r>
    </w:p>
    <w:p>
      <w:pPr>
        <w:pStyle w:val="Heading1"/>
      </w:pPr>
      <w:r>
        <w:t>八、逐页讲解卡片</w:t>
      </w:r>
    </w:p>
    <w:p>
      <w:r>
        <w:t>每页包含一句中心问题、可直接使用的讲法及证据边界。不是逐字照念图上的全部文字。原始方法不明的页，以下仅提供图的读法与审慎结论。</w:t>
      </w:r>
    </w:p>
    <w:p>
      <w:pPr>
        <w:pStyle w:val="Heading2"/>
      </w:pPr>
      <w:r>
        <w:t>第1页｜开场要回答什么</w:t>
      </w:r>
    </w:p>
    <w:p>
      <w:r>
        <w:t>讲法：“今天从ATP的双重身份出发，先讨论相关分子模块的演化，再看它们在骨质疏松病理过程中的可能作用。”</w:t>
      </w:r>
    </w:p>
    <w:p>
      <w:r>
        <w:t>注意：先讲问题，不罗列所有缩写。</w:t>
      </w:r>
    </w:p>
    <w:p>
      <w:pPr>
        <w:pStyle w:val="Heading2"/>
      </w:pPr>
      <w:r>
        <w:t>第2页｜报告分几步</w:t>
      </w:r>
    </w:p>
    <w:p>
      <w:r>
        <w:t>讲法：“报告依次讨论概念、演化和结构、死亡通路，最后将机制落到骨重建和实验依据。”</w:t>
      </w:r>
    </w:p>
    <w:p>
      <w:r>
        <w:t>注意：大纲中第5部分目前重复，需整理。</w:t>
      </w:r>
    </w:p>
    <w:p>
      <w:pPr>
        <w:pStyle w:val="Heading2"/>
      </w:pPr>
      <w:r>
        <w:t>第3页｜ATP认识如何改变</w:t>
      </w:r>
    </w:p>
    <w:p>
      <w:r>
        <w:t>讲法：“研究逐步从胞内供能扩展到胞外信号及细胞命运调控。时间线说明认识的变化，后段包含本报告采用的理论框架。”</w:t>
      </w:r>
    </w:p>
    <w:p>
      <w:r>
        <w:t>注意：不把时间线中的每一个概念都称为领域共识。</w:t>
      </w:r>
    </w:p>
    <w:p>
      <w:pPr>
        <w:pStyle w:val="Heading2"/>
      </w:pPr>
      <w:r>
        <w:t>第4页｜为什么同一ATP可以有不同作用</w:t>
      </w:r>
    </w:p>
    <w:p>
      <w:r>
        <w:t>讲法：“ATP释放不自动等同于死亡；同一个信号会随受体、时程和组织背景产生不同结果。骨组织也需要考虑这一点。”</w:t>
      </w:r>
    </w:p>
    <w:p>
      <w:r>
        <w:t>注意：肿瘤例子用于提出问题，不能替代骨证据。</w:t>
      </w:r>
    </w:p>
    <w:p>
      <w:pPr>
        <w:pStyle w:val="Heading2"/>
      </w:pPr>
      <w:r>
        <w:t>第5页｜组件是否同时出现</w:t>
      </w:r>
    </w:p>
    <w:p>
      <w:r>
        <w:t>讲法：“看不同谱系中的组分分布：代谢和应激相关组件较广泛，部分受体和死亡执行组件呈更强谱系差异。”</w:t>
      </w:r>
    </w:p>
    <w:p>
      <w:r>
        <w:t>注意：有组件不等于存在完整AICD系统。</w:t>
      </w:r>
    </w:p>
    <w:p>
      <w:pPr>
        <w:pStyle w:val="Heading2"/>
      </w:pPr>
      <w:r>
        <w:t>第6页｜基因复制与组件分布有何关系</w:t>
      </w:r>
    </w:p>
    <w:p>
      <w:r>
        <w:t>讲法：“基因复制可提供功能分化的候选基础；不同家族的事件数量不同。组装轨迹是对组件分布的模型概括。”</w:t>
      </w:r>
    </w:p>
    <w:p>
      <w:r>
        <w:t>注意：基因数多不等于通路更强，须说明功能完备度如何定义。</w:t>
      </w:r>
    </w:p>
    <w:p>
      <w:pPr>
        <w:pStyle w:val="Heading2"/>
      </w:pPr>
      <w:r>
        <w:t>第7页｜跨物种数量差异说明什么</w:t>
      </w:r>
    </w:p>
    <w:p>
      <w:r>
        <w:t>讲法：“不同物种检出的候选组分数量不同，可为模块招募或丢失提供线索。”</w:t>
      </w:r>
    </w:p>
    <w:p>
      <w:r>
        <w:t>注意：受基因组和注释质量影响，不作线性进步论解释。</w:t>
      </w:r>
    </w:p>
    <w:p>
      <w:pPr>
        <w:pStyle w:val="Heading2"/>
      </w:pPr>
      <w:r>
        <w:t>第8页｜哪些模块更早出现</w:t>
      </w:r>
    </w:p>
    <w:p>
      <w:r>
        <w:t>讲法：“热图看广泛分布与局限分布；右图看模块在模型中的出现层级。代谢组件与较晚出现的部分受体/执行组件可区分。”</w:t>
      </w:r>
    </w:p>
    <w:p>
      <w:r>
        <w:t>注意：年龄推断需要物种采样和定年方法，不能读成精确起源日期。</w:t>
      </w:r>
    </w:p>
    <w:p>
      <w:pPr>
        <w:pStyle w:val="Heading2"/>
      </w:pPr>
      <w:r>
        <w:t>第9页｜能否概括为分层框架</w:t>
      </w:r>
    </w:p>
    <w:p>
      <w:r>
        <w:t>讲法：“可把结果整理为能量代谢、嘌呤能信号和应激/死亡相关模块，呈现不同的演化分布。”</w:t>
      </w:r>
    </w:p>
    <w:p>
      <w:r>
        <w:t>注意：2、3、5是图中层级编码，勿当作年数或所有物种的必经阶段。</w:t>
      </w:r>
    </w:p>
    <w:p>
      <w:pPr>
        <w:pStyle w:val="Heading2"/>
      </w:pPr>
      <w:r>
        <w:t>第10页｜共演化网络说明什么</w:t>
      </w:r>
    </w:p>
    <w:p>
      <w:r>
        <w:t>讲法：“部分候选分子的分布或演化特征存在关联；基因组位置分散说明它们并非集中在一个基因簇。”</w:t>
      </w:r>
    </w:p>
    <w:p>
      <w:r>
        <w:t>注意：不能由相关网络直接推出调控或互作。</w:t>
      </w:r>
    </w:p>
    <w:p>
      <w:pPr>
        <w:pStyle w:val="Heading2"/>
      </w:pPr>
      <w:r>
        <w:t>第11页｜群落与功能如何对应</w:t>
      </w:r>
    </w:p>
    <w:p>
      <w:r>
        <w:t>讲法：“按图例看网络群组是否富集某类功能，寻找可能共同变化的模块。”</w:t>
      </w:r>
    </w:p>
    <w:p>
      <w:r>
        <w:t>注意：群组划分结果依算法与阈值，未验证不能称功能复合体。</w:t>
      </w:r>
    </w:p>
    <w:p>
      <w:pPr>
        <w:pStyle w:val="Heading2"/>
      </w:pPr>
      <w:r>
        <w:t>第12页｜DTL图怎么看</w:t>
      </w:r>
    </w:p>
    <w:p>
      <w:r>
        <w:t>讲法：“不同颜色代表复制、丢失、转移的推断计数，先比较家族之间的模式差异。”</w:t>
      </w:r>
    </w:p>
    <w:p>
      <w:r>
        <w:t>注意：特别谨慎解释动物水平转移，不报未经核验的事件真实性。</w:t>
      </w:r>
    </w:p>
    <w:p>
      <w:pPr>
        <w:pStyle w:val="Heading2"/>
      </w:pPr>
      <w:r>
        <w:t>第13页｜基因树与物种树为何调和</w:t>
      </w:r>
    </w:p>
    <w:p>
      <w:r>
        <w:t>讲法：“将基因树放到物种分化背景中，区分物种分化与基因复制；Caspase家族可作为分化实例。”</w:t>
      </w:r>
    </w:p>
    <w:p>
      <w:r>
        <w:t>注意：聚类和枝长不是功能实验，不说死亡能力必然增强。</w:t>
      </w:r>
    </w:p>
    <w:p>
      <w:pPr>
        <w:pStyle w:val="Heading2"/>
      </w:pPr>
      <w:r>
        <w:t>第14页｜祖先状态如何推断</w:t>
      </w:r>
    </w:p>
    <w:p>
      <w:r>
        <w:t>讲法：“利用现生物种的组分分布和系统树，估计祖先节点可能具有哪些组分。”</w:t>
      </w:r>
    </w:p>
    <w:p>
      <w:r>
        <w:t>注意：这是模型推断，不是直接观察古代祖先。</w:t>
      </w:r>
    </w:p>
    <w:p>
      <w:pPr>
        <w:pStyle w:val="Heading2"/>
      </w:pPr>
      <w:r>
        <w:t>第15页｜起源与缺失如何区分</w:t>
      </w:r>
    </w:p>
    <w:p>
      <w:r>
        <w:t>讲法：“存在—缺失谱显示当前采样中各组分分布，和祖先状态推断一起构成起源线索。”</w:t>
      </w:r>
    </w:p>
    <w:p>
      <w:r>
        <w:t>注意：未检出不等于真实缺失，起源时间对方法敏感。</w:t>
      </w:r>
    </w:p>
    <w:p>
      <w:pPr>
        <w:pStyle w:val="Heading2"/>
      </w:pPr>
      <w:r>
        <w:t>第16页｜JS分数说明什么</w:t>
      </w:r>
    </w:p>
    <w:p>
      <w:r>
        <w:t>讲法：“看位点之间的保守性差异，某些位置变化少，可能与维持基本分子功能有关。”</w:t>
      </w:r>
    </w:p>
    <w:p>
      <w:r>
        <w:t>注意：不把高分解释为基因表达高或骨疾病作用强。</w:t>
      </w:r>
    </w:p>
    <w:p>
      <w:pPr>
        <w:pStyle w:val="Heading2"/>
      </w:pPr>
      <w:r>
        <w:t>第17页｜模块保守性是否相同</w:t>
      </w:r>
    </w:p>
    <w:p>
      <w:r>
        <w:t>讲法：“不同模块的序列约束可能不同，先按坐标和图例比较分布，不凭颜色猜显著性。”</w:t>
      </w:r>
    </w:p>
    <w:p>
      <w:r>
        <w:t>注意：缺少检验时说呈差异趋势。</w:t>
      </w:r>
    </w:p>
    <w:p>
      <w:pPr>
        <w:pStyle w:val="Heading2"/>
      </w:pPr>
      <w:r>
        <w:t>第18页｜跨物种保守性怎么看</w:t>
      </w:r>
    </w:p>
    <w:p>
      <w:r>
        <w:t>讲法：“找多个物种共同保留的区域与变异区域；强调分子结构约束的线索。”</w:t>
      </w:r>
    </w:p>
    <w:p>
      <w:r>
        <w:t>注意：热图相似不能证明同一功能全部保留。</w:t>
      </w:r>
    </w:p>
    <w:p>
      <w:pPr>
        <w:pStyle w:val="Heading2"/>
      </w:pPr>
      <w:r>
        <w:t>第19页｜结构数据与受体树如何使用</w:t>
      </w:r>
    </w:p>
    <w:p>
      <w:r>
        <w:t>讲法：“左图告诉我们哪些蛋白已有结构资料，右图呈现P2X家族分化。”</w:t>
      </w:r>
    </w:p>
    <w:p>
      <w:r>
        <w:t>注意：数据库覆盖度与生物学重要性分开讲。</w:t>
      </w:r>
    </w:p>
    <w:p>
      <w:pPr>
        <w:pStyle w:val="Heading2"/>
      </w:pPr>
      <w:r>
        <w:t>第20页｜P2Y家族的多样性说明什么</w:t>
      </w:r>
    </w:p>
    <w:p>
      <w:r>
        <w:t>讲法：“P2Y亚型的分化提供多样核苷酸响应的基础，和P2X的离子通道机制有所区别。”</w:t>
      </w:r>
    </w:p>
    <w:p>
      <w:r>
        <w:t>注意：配体与作用须按亚型核对，不统称ATP–P2X7。</w:t>
      </w:r>
    </w:p>
    <w:p>
      <w:pPr>
        <w:pStyle w:val="Heading2"/>
      </w:pPr>
      <w:r>
        <w:t>第21页｜保守位点在结构中在哪里</w:t>
      </w:r>
    </w:p>
    <w:p>
      <w:r>
        <w:t>讲法：“把序列保守性标到结构上，判断是否邻近功能域或口袋。”</w:t>
      </w:r>
    </w:p>
    <w:p>
      <w:r>
        <w:t>注意：位置重合是结构线索，不是突变功能验证。</w:t>
      </w:r>
    </w:p>
    <w:p>
      <w:pPr>
        <w:pStyle w:val="Heading2"/>
      </w:pPr>
      <w:r>
        <w:t>第22页｜如何概括前面多张图</w:t>
      </w:r>
    </w:p>
    <w:p>
      <w:r>
        <w:t>讲法：“候选代谢、信号和执行模块具有不同分布，本研究据此提出分阶段形成的模型。”</w:t>
      </w:r>
    </w:p>
    <w:p>
      <w:r>
        <w:t>注意：模型框架与已直接证实的通路分开。</w:t>
      </w:r>
    </w:p>
    <w:p>
      <w:pPr>
        <w:pStyle w:val="Heading2"/>
      </w:pPr>
      <w:r>
        <w:t>第23页｜人鼠dN/dS怎样讲</w:t>
      </w:r>
    </w:p>
    <w:p>
      <w:r>
        <w:t>讲法：“图中若整体比值低于1，可说与纯化选择相符；不同基因约束强度可能有差别。”</w:t>
      </w:r>
    </w:p>
    <w:p>
      <w:r>
        <w:t>注意：不能由较高但仍低于1的比值直接称正选择。</w:t>
      </w:r>
    </w:p>
    <w:p>
      <w:pPr>
        <w:pStyle w:val="Heading2"/>
      </w:pPr>
      <w:r>
        <w:t>第24页｜功能模块是否有谱系差异</w:t>
      </w:r>
    </w:p>
    <w:p>
      <w:r>
        <w:t>讲法：“展示候选功能模块在不同谱系中的分布，不同谱系有不同的保留和扩展。”</w:t>
      </w:r>
    </w:p>
    <w:p>
      <w:r>
        <w:t>注意：少用低等到高等，现生物种不是互相的祖先。</w:t>
      </w:r>
    </w:p>
    <w:p>
      <w:pPr>
        <w:pStyle w:val="Heading2"/>
      </w:pPr>
      <w:r>
        <w:t>第25页｜功能位点是否均匀保守</w:t>
      </w:r>
    </w:p>
    <w:p>
      <w:r>
        <w:t>讲法：“部分位点或蛋白相对稳定，可能反映不同的结构或功能约束。”</w:t>
      </w:r>
    </w:p>
    <w:p>
      <w:r>
        <w:t>注意：确认位点注释与样本数，不能由高分决定药物靶点价值。</w:t>
      </w:r>
    </w:p>
    <w:p>
      <w:pPr>
        <w:pStyle w:val="Heading2"/>
      </w:pPr>
      <w:r>
        <w:t>第26页｜模块平均分能说明什么</w:t>
      </w:r>
    </w:p>
    <w:p>
      <w:r>
        <w:t>讲法：“模块内部的保守性分布不同，平均值提供概括，但要兼顾组内变异。”</w:t>
      </w:r>
    </w:p>
    <w:p>
      <w:r>
        <w:t>注意：平均数不是每个组分的表现，也不是功能强度。</w:t>
      </w:r>
    </w:p>
    <w:p>
      <w:pPr>
        <w:pStyle w:val="Heading2"/>
      </w:pPr>
      <w:r>
        <w:t>第27页｜另一组物种如何支持模型</w:t>
      </w:r>
    </w:p>
    <w:p>
      <w:r>
        <w:t>讲法：“在另一组采样的物种中比较组分分布，为谱系差异提供补充描述。”</w:t>
      </w:r>
    </w:p>
    <w:p>
      <w:r>
        <w:t>注意：注意11与25物种面板的用途区别，避免假装独立重复验证。</w:t>
      </w:r>
    </w:p>
    <w:p>
      <w:pPr>
        <w:pStyle w:val="Heading2"/>
      </w:pPr>
      <w:r>
        <w:t>第28页｜进化速率与保守性什么关系</w:t>
      </w:r>
    </w:p>
    <w:p>
      <w:r>
        <w:t>讲法：“横纵轴对应不同指标，观察是否有趋势；有正式相关分析才报告相关系数与显著性。”</w:t>
      </w:r>
    </w:p>
    <w:p>
      <w:r>
        <w:t>注意：视觉趋势不等于统计相关，更不代表疾病因果。</w:t>
      </w:r>
    </w:p>
    <w:p>
      <w:pPr>
        <w:pStyle w:val="Heading2"/>
      </w:pPr>
      <w:r>
        <w:t>第29页｜P2X亚型树怎么读</w:t>
      </w:r>
    </w:p>
    <w:p>
      <w:r>
        <w:t>讲法：“指出亚型聚类和共同祖先；标尺是序列变化的单位。”</w:t>
      </w:r>
    </w:p>
    <w:p>
      <w:r>
        <w:t>注意：树较大，建议备用，别逐个物种朗读。</w:t>
      </w:r>
    </w:p>
    <w:p>
      <w:pPr>
        <w:pStyle w:val="Heading2"/>
      </w:pPr>
      <w:r>
        <w:t>第30页｜ATP如何与凋亡联系</w:t>
      </w:r>
    </w:p>
    <w:p>
      <w:r>
        <w:t>讲法：“异常离子和线粒体应激可参与凋亡相关执行过程；急性严重损伤也可能导致膜完整性丧失。”</w:t>
      </w:r>
    </w:p>
    <w:p>
      <w:r>
        <w:t>注意：凋亡与坏死分开，流程图不是每个细胞都遵循的必然路线。</w:t>
      </w:r>
    </w:p>
    <w:p>
      <w:pPr>
        <w:pStyle w:val="Heading2"/>
      </w:pPr>
      <w:r>
        <w:t>第31页｜自噬和铁死亡为何关联</w:t>
      </w:r>
    </w:p>
    <w:p>
      <w:r>
        <w:t>讲法：“代谢应激可影响自噬和抗氧化机制，铁依赖脂质过氧化构成铁死亡的重要特征。”</w:t>
      </w:r>
    </w:p>
    <w:p>
      <w:r>
        <w:t>注意：自噬常是保护性反应；ROS升高也不等于铁死亡。</w:t>
      </w:r>
    </w:p>
    <w:p>
      <w:pPr>
        <w:pStyle w:val="Heading2"/>
      </w:pPr>
      <w:r>
        <w:t>第32页｜重点讲哪条死亡机制</w:t>
      </w:r>
    </w:p>
    <w:p>
      <w:r>
        <w:t>讲法：“聚焦焦亡：ATP–P2X7、离子变化、NLRP3、caspase-1和GSDMD是一条代表机制。”</w:t>
      </w:r>
    </w:p>
    <w:p>
      <w:r>
        <w:t>注意：程序性坏死的RIPK3/MLKL机制不能由P2X7升高单独判定。</w:t>
      </w:r>
    </w:p>
    <w:p>
      <w:pPr>
        <w:pStyle w:val="Heading2"/>
      </w:pPr>
      <w:r>
        <w:t>第33页｜PANoptosis图如何定位</w:t>
      </w:r>
    </w:p>
    <w:p>
      <w:r>
        <w:t>讲法：“一些条件下死亡通路存在交互，可提出联合执行的候选框架。”</w:t>
      </w:r>
    </w:p>
    <w:p>
      <w:r>
        <w:t>注意：不能由三类标志同时变化就直接确定PANoptosome。</w:t>
      </w:r>
    </w:p>
    <w:p>
      <w:pPr>
        <w:pStyle w:val="Heading2"/>
      </w:pPr>
      <w:r>
        <w:t>第34页｜ATP的高低是否决定死亡</w:t>
      </w:r>
    </w:p>
    <w:p>
      <w:r>
        <w:t>讲法：“作用方向依赖浓度、时间和受体背景，不能简单定为高则死低则生。”</w:t>
      </w:r>
    </w:p>
    <w:p>
      <w:r>
        <w:t>注意：尤其低胞外ATP不等于胞内缺能，也不必然造成凋亡。</w:t>
      </w:r>
    </w:p>
    <w:p>
      <w:pPr>
        <w:pStyle w:val="Heading2"/>
      </w:pPr>
      <w:r>
        <w:t>第35页｜正反馈如何理解</w:t>
      </w:r>
    </w:p>
    <w:p>
      <w:r>
        <w:t>讲法：“初始损伤可释放ATP及其他危险信号，进一步刺激邻近细胞形成局部放大。”</w:t>
      </w:r>
    </w:p>
    <w:p>
      <w:r>
        <w:t>注意：区分早期诱因和损伤后产物，避免把反馈当单向因果。</w:t>
      </w:r>
    </w:p>
    <w:p>
      <w:pPr>
        <w:pStyle w:val="Heading2"/>
      </w:pPr>
      <w:r>
        <w:t>第36页｜内外源性刺激如何汇合</w:t>
      </w:r>
    </w:p>
    <w:p>
      <w:r>
        <w:t>讲法：“不同上游刺激可在凋亡或炎症执行环节相联系，ATP可以参与其中。”</w:t>
      </w:r>
    </w:p>
    <w:p>
      <w:r>
        <w:t>注意：图中的所有箭头不代表同一实验背景已经共同验证。</w:t>
      </w:r>
    </w:p>
    <w:p>
      <w:pPr>
        <w:pStyle w:val="Heading2"/>
      </w:pPr>
      <w:r>
        <w:t>第37页｜免疫杀伤与萎缩是什么层级</w:t>
      </w:r>
    </w:p>
    <w:p>
      <w:r>
        <w:t>讲法：“免疫杀伤可造成靶细胞损伤并产生危险信号；萎缩是细胞或组织状态。”</w:t>
      </w:r>
    </w:p>
    <w:p>
      <w:r>
        <w:t>注意：萎缩不是与焦亡并列的一种死亡方式。</w:t>
      </w:r>
    </w:p>
    <w:p>
      <w:pPr>
        <w:pStyle w:val="Heading2"/>
      </w:pPr>
      <w:r>
        <w:t>第38页｜瘢痕和免疫如何改变环境</w:t>
      </w:r>
    </w:p>
    <w:p>
      <w:r>
        <w:t>讲法：“组织状态及免疫反应可改变细胞对危险信号的敏感性。”</w:t>
      </w:r>
    </w:p>
    <w:p>
      <w:r>
        <w:t>注意：不把肿瘤免疫结论直接外推至骨质疏松。</w:t>
      </w:r>
    </w:p>
    <w:p>
      <w:pPr>
        <w:pStyle w:val="Heading2"/>
      </w:pPr>
      <w:r>
        <w:t>第39页｜代谢状态与内质网应激如何参与</w:t>
      </w:r>
    </w:p>
    <w:p>
      <w:r>
        <w:t>讲法：“周期、蛋白稳态和能量应激可影响细胞的死亡敏感性。”</w:t>
      </w:r>
    </w:p>
    <w:p>
      <w:r>
        <w:t>注意：这些是背景或调控过程，不应全部计为独立死亡类型。</w:t>
      </w:r>
    </w:p>
    <w:p>
      <w:pPr>
        <w:pStyle w:val="Heading2"/>
      </w:pPr>
      <w:r>
        <w:t>第40页｜怎样收束通路部分</w:t>
      </w:r>
    </w:p>
    <w:p>
      <w:r>
        <w:t>讲法：“ATP相关信号可能连接多种应激与死亡机制；不同条件调用不同分支。”</w:t>
      </w:r>
    </w:p>
    <w:p>
      <w:r>
        <w:t>注意：改共同上游基础为潜在交互框架，删除GitHub仓库字样。</w:t>
      </w:r>
    </w:p>
    <w:p>
      <w:pPr>
        <w:pStyle w:val="Heading2"/>
      </w:pPr>
      <w:r>
        <w:t>第41页｜演化怎样转向骨病理</w:t>
      </w:r>
    </w:p>
    <w:p>
      <w:r>
        <w:t>讲法：“演化结果解释组件来源，骨细胞研究回答病理背景下它们是否被动员。生理ATP参与机械应答，异常ATP可能放大损伤。”</w:t>
      </w:r>
    </w:p>
    <w:p>
      <w:r>
        <w:t>注意：保守性不等于病理作用，受体活化也不必然导致死亡。</w:t>
      </w:r>
    </w:p>
    <w:p>
      <w:pPr>
        <w:pStyle w:val="Heading2"/>
      </w:pPr>
      <w:r>
        <w:t>第42页｜成骨谱系为什么重要</w:t>
      </w:r>
    </w:p>
    <w:p>
      <w:r>
        <w:t>讲法：“BMSC负责补充成骨细胞，成骨细胞负责基质生成和矿化；两层功能受损均可能使骨形成下降。”</w:t>
      </w:r>
    </w:p>
    <w:p>
      <w:r>
        <w:t>注意：原图包含促成骨作用；分化改变与死亡分别评价。</w:t>
      </w:r>
    </w:p>
    <w:p>
      <w:pPr>
        <w:pStyle w:val="Heading2"/>
      </w:pPr>
      <w:r>
        <w:t>第43页｜焦亡如何影响骨环境</w:t>
      </w:r>
    </w:p>
    <w:p>
      <w:r>
        <w:t>讲法：“受体和炎症背景共同作用，焦亡相关炎症可能影响骨细胞功能和局部环境。”</w:t>
      </w:r>
    </w:p>
    <w:p>
      <w:r>
        <w:t>注意：原图支路标注应核对，建议使用经典通路重绘版，不宣称骨因果链已确立。</w:t>
      </w:r>
    </w:p>
    <w:p>
      <w:pPr>
        <w:pStyle w:val="Heading2"/>
      </w:pPr>
      <w:r>
        <w:t>第44页｜怎样形成骨质疏松结局</w:t>
      </w:r>
    </w:p>
    <w:p>
      <w:r>
        <w:t>讲法：“成骨谱系受损、骨细胞调节异常及破骨功能变化，最终可能改变骨形成与骨吸收的平衡。”</w:t>
      </w:r>
    </w:p>
    <w:p>
      <w:r>
        <w:t>注意：破骨分化或活性增强不是死亡；骨吸收相对增强不一定指绝对高转换。</w:t>
      </w:r>
    </w:p>
    <w:p>
      <w:pPr>
        <w:pStyle w:val="Heading2"/>
      </w:pPr>
      <w:r>
        <w:t>第45页｜现在有多少证据</w:t>
      </w:r>
    </w:p>
    <w:p>
      <w:r>
        <w:t>讲法：“已有研究支持相关受体或下游通路参与模型骨病理；但尚需串联ATP暴露、受体依赖性、死亡执行和骨表型。”</w:t>
      </w:r>
    </w:p>
    <w:p>
      <w:r>
        <w:t>注意：这些原始研究是综述引用内容，不能讲成团队原创实验或临床有效。</w:t>
      </w:r>
    </w:p>
    <w:p>
      <w:pPr>
        <w:pStyle w:val="Heading2"/>
      </w:pPr>
      <w:r>
        <w:t>第46页｜成果介绍怎样讲</w:t>
      </w:r>
    </w:p>
    <w:p>
      <w:r>
        <w:t>讲法：“用20秒说明相关领域的学术整理与研究方向，然后回到本报告的三个结论。”</w:t>
      </w:r>
    </w:p>
    <w:p>
      <w:r>
        <w:t>注意：专著出版不替代机制证据，书名和出版状态按实际核对。</w:t>
      </w:r>
    </w:p>
    <w:p>
      <w:pPr>
        <w:pStyle w:val="Heading2"/>
      </w:pPr>
      <w:r>
        <w:t>第47页｜怎么结束</w:t>
      </w:r>
    </w:p>
    <w:p>
      <w:r>
        <w:t>讲法：“强调ATP双向作用、模块演化与骨细胞机制的不同证据层级，以及需要验证的因果链。”</w:t>
      </w:r>
    </w:p>
    <w:p>
      <w:r>
        <w:t>注意：先总结再感谢，留时间给讨论。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