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Microsoft YaHei" w:hAnsi="Microsoft YaHei" w:eastAsia="Microsoft YaHei"/>
          <w:b/>
          <w:color w:val="1F4D78"/>
          <w:sz w:val="48"/>
        </w:rPr>
        <w:t>PPT内容母稿 v2</w:t>
      </w:r>
    </w:p>
    <w:p>
      <w:pPr>
        <w:spacing w:after="240"/>
      </w:pPr>
      <w:r>
        <w:rPr>
          <w:rFonts w:ascii="Microsoft YaHei" w:hAnsi="Microsoft YaHei" w:eastAsia="Microsoft YaHei"/>
          <w:b/>
          <w:color w:val="232323"/>
          <w:sz w:val="26"/>
        </w:rPr>
        <w:t>基金公司员工证券投资申报复核系统：从真实合规复核问题到可信 AI 工作流</w:t>
      </w:r>
    </w:p>
    <w:tbl>
      <w:tblPr>
        <w:tblStyle w:val="TableGrid"/>
        <w:tblW w:type="auto" w:w="0"/>
        <w:tblLayout w:type="fixed"/>
        <w:tblLook w:firstColumn="1" w:firstRow="1" w:lastColumn="0" w:lastRow="0" w:noHBand="0" w:noVBand="1" w:val="04A0"/>
      </w:tblPr>
      <w:tblGrid>
        <w:gridCol w:w="4824"/>
        <w:gridCol w:w="4824"/>
      </w:tblGrid>
      <w:tr>
        <w:tc>
          <w:tcPr>
            <w:tcW w:type="dxa" w:w="1944"/>
            <w:vAlign w:val="center"/>
            <w:shd w:fill="E8EEF5"/>
          </w:tcPr>
          <w:p>
            <w:pPr>
              <w:spacing w:after="0" w:line="276" w:lineRule="auto"/>
            </w:pPr>
            <w:r/>
            <w:r>
              <w:rPr>
                <w:rFonts w:ascii="Microsoft YaHei" w:hAnsi="Microsoft YaHei" w:eastAsia="Microsoft YaHei"/>
                <w:b/>
                <w:color w:val="1F4D78"/>
                <w:sz w:val="20"/>
              </w:rPr>
              <w:t>使用场景</w:t>
            </w:r>
          </w:p>
        </w:tc>
        <w:tc>
          <w:tcPr>
            <w:tcW w:type="dxa" w:w="7128"/>
            <w:vAlign w:val="center"/>
            <w:shd w:fill="E8EEF5"/>
          </w:tcPr>
          <w:p>
            <w:pPr>
              <w:spacing w:after="0" w:line="276" w:lineRule="auto"/>
            </w:pPr>
            <w:r/>
            <w:r>
              <w:rPr>
                <w:rFonts w:ascii="Microsoft YaHei" w:hAnsi="Microsoft YaHei" w:eastAsia="Microsoft YaHei"/>
                <w:b w:val="0"/>
                <w:color w:val="232323"/>
                <w:sz w:val="20"/>
              </w:rPr>
              <w:t>AI应用岗位面试/答辩，建议压缩成 12-15 页 PPT，现场讲 8-12 分钟。</w:t>
            </w:r>
          </w:p>
        </w:tc>
      </w:tr>
      <w:tr>
        <w:tc>
          <w:tcPr>
            <w:tcW w:type="dxa" w:w="1944"/>
            <w:vAlign w:val="center"/>
          </w:tcPr>
          <w:p>
            <w:pPr>
              <w:spacing w:after="0" w:line="276" w:lineRule="auto"/>
            </w:pPr>
            <w:r/>
            <w:r>
              <w:rPr>
                <w:rFonts w:ascii="Microsoft YaHei" w:hAnsi="Microsoft YaHei" w:eastAsia="Microsoft YaHei"/>
                <w:b/>
                <w:color w:val="1F4D78"/>
                <w:sz w:val="20"/>
              </w:rPr>
              <w:t>核心主线</w:t>
            </w:r>
          </w:p>
        </w:tc>
        <w:tc>
          <w:tcPr>
            <w:tcW w:type="dxa" w:w="7128"/>
            <w:vAlign w:val="center"/>
          </w:tcPr>
          <w:p>
            <w:pPr>
              <w:spacing w:after="0" w:line="276" w:lineRule="auto"/>
            </w:pPr>
            <w:r/>
            <w:r>
              <w:rPr>
                <w:rFonts w:ascii="Microsoft YaHei" w:hAnsi="Microsoft YaHei" w:eastAsia="Microsoft YaHei"/>
                <w:b w:val="0"/>
                <w:color w:val="232323"/>
                <w:sz w:val="20"/>
              </w:rPr>
              <w:t>不是“我做了一个系统”，而是“我如何把真实业务问题拆成 AI 工作流、可信控制和可验证产品”。</w:t>
            </w:r>
          </w:p>
        </w:tc>
      </w:tr>
      <w:tr>
        <w:tc>
          <w:tcPr>
            <w:tcW w:type="dxa" w:w="1944"/>
            <w:vAlign w:val="center"/>
          </w:tcPr>
          <w:p>
            <w:pPr>
              <w:spacing w:after="0" w:line="276" w:lineRule="auto"/>
            </w:pPr>
            <w:r/>
            <w:r>
              <w:rPr>
                <w:rFonts w:ascii="Microsoft YaHei" w:hAnsi="Microsoft YaHei" w:eastAsia="Microsoft YaHei"/>
                <w:b/>
                <w:color w:val="1F4D78"/>
                <w:sz w:val="20"/>
              </w:rPr>
              <w:t>当前测试口径</w:t>
            </w:r>
          </w:p>
        </w:tc>
        <w:tc>
          <w:tcPr>
            <w:tcW w:type="dxa" w:w="7128"/>
            <w:vAlign w:val="center"/>
          </w:tcPr>
          <w:p>
            <w:pPr>
              <w:spacing w:after="0" w:line="276" w:lineRule="auto"/>
            </w:pPr>
            <w:r/>
            <w:r>
              <w:rPr>
                <w:rFonts w:ascii="Microsoft YaHei" w:hAnsi="Microsoft YaHei" w:eastAsia="Microsoft YaHei"/>
                <w:b w:val="0"/>
                <w:color w:val="232323"/>
                <w:sz w:val="20"/>
              </w:rPr>
              <w:t>本次生成前重新运行：70 tests，1 failure。测试页不写死“全部通过”，演示前需修复或更新最终数字。</w:t>
            </w:r>
          </w:p>
        </w:tc>
      </w:tr>
      <w:tr>
        <w:tc>
          <w:tcPr>
            <w:tcW w:type="dxa" w:w="1944"/>
            <w:vAlign w:val="center"/>
          </w:tcPr>
          <w:p>
            <w:pPr>
              <w:spacing w:after="0" w:line="276" w:lineRule="auto"/>
            </w:pPr>
            <w:r/>
            <w:r>
              <w:rPr>
                <w:rFonts w:ascii="Microsoft YaHei" w:hAnsi="Microsoft YaHei" w:eastAsia="Microsoft YaHei"/>
                <w:b/>
                <w:color w:val="1F4D78"/>
                <w:sz w:val="20"/>
              </w:rPr>
              <w:t>母稿用法</w:t>
            </w:r>
          </w:p>
        </w:tc>
        <w:tc>
          <w:tcPr>
            <w:tcW w:type="dxa" w:w="7128"/>
            <w:vAlign w:val="center"/>
          </w:tcPr>
          <w:p>
            <w:pPr>
              <w:spacing w:after="0" w:line="276" w:lineRule="auto"/>
            </w:pPr>
            <w:r/>
            <w:r>
              <w:rPr>
                <w:rFonts w:ascii="Microsoft YaHei" w:hAnsi="Microsoft YaHei" w:eastAsia="Microsoft YaHei"/>
                <w:b w:val="0"/>
                <w:color w:val="232323"/>
                <w:sz w:val="20"/>
              </w:rPr>
              <w:t>每页包含页面任务、PPT内容、现场讲法、转场句；后续做 PPT 时只取页面上的短句，不照搬长段。</w:t>
            </w:r>
          </w:p>
        </w:tc>
      </w:tr>
    </w:tbl>
    <w:p>
      <w:pPr>
        <w:spacing w:before="240" w:after="120"/>
      </w:pPr>
      <w:r>
        <w:rPr>
          <w:rFonts w:ascii="Microsoft YaHei" w:hAnsi="Microsoft YaHei" w:eastAsia="Microsoft YaHei"/>
          <w:b/>
          <w:color w:val="1F4D78"/>
          <w:sz w:val="32"/>
        </w:rPr>
        <w:t>一、总叙事：这场答辩到底要证明什么</w:t>
      </w:r>
    </w:p>
    <w:tbl>
      <w:tblPr>
        <w:tblW w:type="auto" w:w="0"/>
        <w:tblLayout w:type="fixed"/>
        <w:tblLook w:firstColumn="1" w:firstRow="1" w:lastColumn="0" w:lastRow="0" w:noHBand="0" w:noVBand="1" w:val="04A0"/>
      </w:tblPr>
      <w:tblGrid>
        <w:gridCol w:w="9144"/>
      </w:tblGrid>
      <w:tr>
        <w:tc>
          <w:tcPr>
            <w:tcW w:type="dxa" w:w="9648"/>
            <w:shd w:fill="F4F7FA"/>
          </w:tcPr>
          <w:p>
            <w:pPr>
              <w:spacing w:after="40"/>
            </w:pPr>
            <w:r/>
            <w:r>
              <w:rPr>
                <w:rFonts w:ascii="Microsoft YaHei" w:hAnsi="Microsoft YaHei" w:eastAsia="Microsoft YaHei"/>
                <w:b/>
                <w:color w:val="1F4D78"/>
                <w:sz w:val="21"/>
              </w:rPr>
              <w:t>一句话定位</w:t>
            </w:r>
          </w:p>
          <w:p>
            <w:pPr>
              <w:spacing w:after="0" w:line="283" w:lineRule="auto"/>
            </w:pPr>
            <w:r>
              <w:rPr>
                <w:rFonts w:ascii="Microsoft YaHei" w:hAnsi="Microsoft YaHei" w:eastAsia="Microsoft YaHei"/>
                <w:color w:val="232323"/>
                <w:sz w:val="20"/>
              </w:rPr>
              <w:t>我不是展示一个“会抽表格”的小工具，而是展示我如何把基金公司员工证券投资申报复核这个真实业务问题，拆成业务规则、AI抽取、系统校验、人工复核和可验证交付。</w:t>
            </w:r>
          </w:p>
        </w:tc>
      </w:tr>
    </w:tbl>
    <w:p>
      <w:pPr>
        <w:spacing w:after="40"/>
      </w:pPr>
    </w:p>
    <w:p>
      <w:pPr>
        <w:spacing w:after="120" w:before="0" w:line="283" w:lineRule="auto"/>
      </w:pPr>
      <w:r>
        <w:rPr>
          <w:rFonts w:ascii="Microsoft YaHei" w:hAnsi="Microsoft YaHei" w:eastAsia="Microsoft YaHei"/>
          <w:b w:val="0"/>
          <w:color w:val="232323"/>
          <w:sz w:val="22"/>
        </w:rPr>
        <w:t>这场汇报的核心判断是：AI应用岗位最重要的不是“会调用模型”，而是能把模型放进真实业务流程里，让它可用、可控、可追溯、可迭代。</w:t>
      </w:r>
    </w:p>
    <w:p>
      <w:pPr>
        <w:pStyle w:val="ListBullet"/>
        <w:spacing w:after="60"/>
        <w:ind w:left="360" w:hanging="173"/>
      </w:pPr>
      <w:r>
        <w:rPr>
          <w:rFonts w:ascii="Microsoft YaHei" w:hAnsi="Microsoft YaHei" w:eastAsia="Microsoft YaHei"/>
          <w:color w:val="232323"/>
          <w:sz w:val="21"/>
        </w:rPr>
        <w:t>先讲业务：为什么这个问题真实、复杂、有价值。</w:t>
      </w:r>
    </w:p>
    <w:p>
      <w:pPr>
        <w:pStyle w:val="ListBullet"/>
        <w:spacing w:after="60"/>
        <w:ind w:left="360" w:hanging="173"/>
      </w:pPr>
      <w:r>
        <w:rPr>
          <w:rFonts w:ascii="Microsoft YaHei" w:hAnsi="Microsoft YaHei" w:eastAsia="Microsoft YaHei"/>
          <w:color w:val="232323"/>
          <w:sz w:val="21"/>
        </w:rPr>
        <w:t>再讲系统：我如何把业务问题拆成 MVP 闭环。</w:t>
      </w:r>
    </w:p>
    <w:p>
      <w:pPr>
        <w:pStyle w:val="ListBullet"/>
        <w:spacing w:after="60"/>
        <w:ind w:left="360" w:hanging="173"/>
      </w:pPr>
      <w:r>
        <w:rPr>
          <w:rFonts w:ascii="Microsoft YaHei" w:hAnsi="Microsoft YaHei" w:eastAsia="Microsoft YaHei"/>
          <w:color w:val="232323"/>
          <w:sz w:val="21"/>
        </w:rPr>
        <w:t>再讲 AI：AI 在哪里有价值，哪里必须被约束。</w:t>
      </w:r>
    </w:p>
    <w:p>
      <w:pPr>
        <w:pStyle w:val="ListBullet"/>
        <w:spacing w:after="60"/>
        <w:ind w:left="360" w:hanging="173"/>
      </w:pPr>
      <w:r>
        <w:rPr>
          <w:rFonts w:ascii="Microsoft YaHei" w:hAnsi="Microsoft YaHei" w:eastAsia="Microsoft YaHei"/>
          <w:color w:val="232323"/>
          <w:sz w:val="21"/>
        </w:rPr>
        <w:t>再讲验证：正常 case、复杂 case、回归测试和演示路径。</w:t>
      </w:r>
    </w:p>
    <w:p>
      <w:pPr>
        <w:pStyle w:val="ListBullet"/>
        <w:spacing w:after="60"/>
        <w:ind w:left="360" w:hanging="173"/>
      </w:pPr>
      <w:r>
        <w:rPr>
          <w:rFonts w:ascii="Microsoft YaHei" w:hAnsi="Microsoft YaHei" w:eastAsia="Microsoft YaHei"/>
          <w:color w:val="232323"/>
          <w:sz w:val="21"/>
        </w:rPr>
        <w:t>最后升华：从项目实践引出 agent 时代的 AI 使用方式。</w:t>
      </w:r>
    </w:p>
    <w:p>
      <w:pPr>
        <w:spacing w:before="240" w:after="120"/>
      </w:pPr>
      <w:r>
        <w:rPr>
          <w:rFonts w:ascii="Microsoft YaHei" w:hAnsi="Microsoft YaHei" w:eastAsia="Microsoft YaHei"/>
          <w:b/>
          <w:color w:val="1F4D78"/>
          <w:sz w:val="32"/>
        </w:rPr>
        <w:t>二、15页PPT建议结构</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792"/>
            <w:vAlign w:val="center"/>
            <w:shd w:fill="E8EEF5"/>
          </w:tcPr>
          <w:p>
            <w:pPr>
              <w:spacing w:after="0" w:line="276" w:lineRule="auto"/>
            </w:pPr>
            <w:r/>
            <w:r>
              <w:rPr>
                <w:rFonts w:ascii="Microsoft YaHei" w:hAnsi="Microsoft YaHei" w:eastAsia="Microsoft YaHei"/>
                <w:b/>
                <w:color w:val="1F4D78"/>
                <w:sz w:val="20"/>
              </w:rPr>
              <w:t>页</w:t>
            </w:r>
          </w:p>
        </w:tc>
        <w:tc>
          <w:tcPr>
            <w:tcW w:type="dxa" w:w="1800"/>
            <w:vAlign w:val="center"/>
            <w:shd w:fill="E8EEF5"/>
          </w:tcPr>
          <w:p>
            <w:pPr>
              <w:spacing w:after="0" w:line="276" w:lineRule="auto"/>
            </w:pPr>
            <w:r/>
            <w:r>
              <w:rPr>
                <w:rFonts w:ascii="Microsoft YaHei" w:hAnsi="Microsoft YaHei" w:eastAsia="Microsoft YaHei"/>
                <w:b/>
                <w:color w:val="1F4D78"/>
                <w:sz w:val="20"/>
              </w:rPr>
              <w:t>模块</w:t>
            </w:r>
          </w:p>
        </w:tc>
        <w:tc>
          <w:tcPr>
            <w:tcW w:type="dxa" w:w="3744"/>
            <w:vAlign w:val="center"/>
            <w:shd w:fill="E8EEF5"/>
          </w:tcPr>
          <w:p>
            <w:pPr>
              <w:spacing w:after="0" w:line="276" w:lineRule="auto"/>
            </w:pPr>
            <w:r/>
            <w:r>
              <w:rPr>
                <w:rFonts w:ascii="Microsoft YaHei" w:hAnsi="Microsoft YaHei" w:eastAsia="Microsoft YaHei"/>
                <w:b/>
                <w:color w:val="1F4D78"/>
                <w:sz w:val="20"/>
              </w:rPr>
              <w:t>本页要证明</w:t>
            </w:r>
          </w:p>
        </w:tc>
        <w:tc>
          <w:tcPr>
            <w:tcW w:type="dxa" w:w="2736"/>
            <w:vAlign w:val="center"/>
            <w:shd w:fill="E8EEF5"/>
          </w:tcPr>
          <w:p>
            <w:pPr>
              <w:spacing w:after="0" w:line="276" w:lineRule="auto"/>
            </w:pPr>
            <w:r/>
            <w:r>
              <w:rPr>
                <w:rFonts w:ascii="Microsoft YaHei" w:hAnsi="Microsoft YaHei" w:eastAsia="Microsoft YaHei"/>
                <w:b/>
                <w:color w:val="1F4D78"/>
                <w:sz w:val="20"/>
              </w:rPr>
              <w:t>不要讲成</w:t>
            </w:r>
          </w:p>
        </w:tc>
      </w:tr>
      <w:tr>
        <w:tc>
          <w:tcPr>
            <w:tcW w:type="dxa" w:w="792"/>
            <w:vAlign w:val="center"/>
          </w:tcPr>
          <w:p>
            <w:pPr>
              <w:spacing w:after="0" w:line="276" w:lineRule="auto"/>
            </w:pPr>
            <w:r/>
            <w:r>
              <w:rPr>
                <w:rFonts w:ascii="Microsoft YaHei" w:hAnsi="Microsoft YaHei" w:eastAsia="Microsoft YaHei"/>
                <w:b w:val="0"/>
                <w:color w:val="232323"/>
                <w:sz w:val="18"/>
              </w:rPr>
              <w:t>1</w:t>
            </w:r>
          </w:p>
        </w:tc>
        <w:tc>
          <w:tcPr>
            <w:tcW w:type="dxa" w:w="1800"/>
            <w:vAlign w:val="center"/>
          </w:tcPr>
          <w:p>
            <w:pPr>
              <w:spacing w:after="0" w:line="276" w:lineRule="auto"/>
            </w:pPr>
            <w:r/>
            <w:r>
              <w:rPr>
                <w:rFonts w:ascii="Microsoft YaHei" w:hAnsi="Microsoft YaHei" w:eastAsia="Microsoft YaHei"/>
                <w:b w:val="0"/>
                <w:color w:val="232323"/>
                <w:sz w:val="18"/>
              </w:rPr>
              <w:t>开场</w:t>
            </w:r>
          </w:p>
        </w:tc>
        <w:tc>
          <w:tcPr>
            <w:tcW w:type="dxa" w:w="3744"/>
            <w:vAlign w:val="center"/>
          </w:tcPr>
          <w:p>
            <w:pPr>
              <w:spacing w:after="0" w:line="276" w:lineRule="auto"/>
            </w:pPr>
            <w:r/>
            <w:r>
              <w:rPr>
                <w:rFonts w:ascii="Microsoft YaHei" w:hAnsi="Microsoft YaHei" w:eastAsia="Microsoft YaHei"/>
                <w:b w:val="0"/>
                <w:color w:val="232323"/>
                <w:sz w:val="18"/>
              </w:rPr>
              <w:t>我是用真实业务场景证明 AI 应用能力</w:t>
            </w:r>
          </w:p>
        </w:tc>
        <w:tc>
          <w:tcPr>
            <w:tcW w:type="dxa" w:w="2736"/>
            <w:vAlign w:val="center"/>
          </w:tcPr>
          <w:p>
            <w:pPr>
              <w:spacing w:after="0" w:line="276" w:lineRule="auto"/>
            </w:pPr>
            <w:r/>
            <w:r>
              <w:rPr>
                <w:rFonts w:ascii="Microsoft YaHei" w:hAnsi="Microsoft YaHei" w:eastAsia="Microsoft YaHei"/>
                <w:b w:val="0"/>
                <w:color w:val="232323"/>
                <w:sz w:val="18"/>
              </w:rPr>
              <w:t>普通自我介绍</w:t>
            </w:r>
          </w:p>
        </w:tc>
      </w:tr>
      <w:tr>
        <w:tc>
          <w:tcPr>
            <w:tcW w:type="dxa" w:w="792"/>
            <w:vAlign w:val="center"/>
          </w:tcPr>
          <w:p>
            <w:pPr>
              <w:spacing w:after="0" w:line="276" w:lineRule="auto"/>
            </w:pPr>
            <w:r/>
            <w:r>
              <w:rPr>
                <w:rFonts w:ascii="Microsoft YaHei" w:hAnsi="Microsoft YaHei" w:eastAsia="Microsoft YaHei"/>
                <w:b w:val="0"/>
                <w:color w:val="232323"/>
                <w:sz w:val="18"/>
              </w:rPr>
              <w:t>2</w:t>
            </w:r>
          </w:p>
        </w:tc>
        <w:tc>
          <w:tcPr>
            <w:tcW w:type="dxa" w:w="1800"/>
            <w:vAlign w:val="center"/>
          </w:tcPr>
          <w:p>
            <w:pPr>
              <w:spacing w:after="0" w:line="276" w:lineRule="auto"/>
            </w:pPr>
            <w:r/>
            <w:r>
              <w:rPr>
                <w:rFonts w:ascii="Microsoft YaHei" w:hAnsi="Microsoft YaHei" w:eastAsia="Microsoft YaHei"/>
                <w:b w:val="0"/>
                <w:color w:val="232323"/>
                <w:sz w:val="18"/>
              </w:rPr>
              <w:t>问题价值</w:t>
            </w:r>
          </w:p>
        </w:tc>
        <w:tc>
          <w:tcPr>
            <w:tcW w:type="dxa" w:w="3744"/>
            <w:vAlign w:val="center"/>
          </w:tcPr>
          <w:p>
            <w:pPr>
              <w:spacing w:after="0" w:line="276" w:lineRule="auto"/>
            </w:pPr>
            <w:r/>
            <w:r>
              <w:rPr>
                <w:rFonts w:ascii="Microsoft YaHei" w:hAnsi="Microsoft YaHei" w:eastAsia="Microsoft YaHei"/>
                <w:b w:val="0"/>
                <w:color w:val="232323"/>
                <w:sz w:val="18"/>
              </w:rPr>
              <w:t>申报复核不是填表，而是判断责任链</w:t>
            </w:r>
          </w:p>
        </w:tc>
        <w:tc>
          <w:tcPr>
            <w:tcW w:type="dxa" w:w="2736"/>
            <w:vAlign w:val="center"/>
          </w:tcPr>
          <w:p>
            <w:pPr>
              <w:spacing w:after="0" w:line="276" w:lineRule="auto"/>
            </w:pPr>
            <w:r/>
            <w:r>
              <w:rPr>
                <w:rFonts w:ascii="Microsoft YaHei" w:hAnsi="Microsoft YaHei" w:eastAsia="Microsoft YaHei"/>
                <w:b w:val="0"/>
                <w:color w:val="232323"/>
                <w:sz w:val="18"/>
              </w:rPr>
              <w:t>法规罗列</w:t>
            </w:r>
          </w:p>
        </w:tc>
      </w:tr>
      <w:tr>
        <w:tc>
          <w:tcPr>
            <w:tcW w:type="dxa" w:w="792"/>
            <w:vAlign w:val="center"/>
          </w:tcPr>
          <w:p>
            <w:pPr>
              <w:spacing w:after="0" w:line="276" w:lineRule="auto"/>
            </w:pPr>
            <w:r/>
            <w:r>
              <w:rPr>
                <w:rFonts w:ascii="Microsoft YaHei" w:hAnsi="Microsoft YaHei" w:eastAsia="Microsoft YaHei"/>
                <w:b w:val="0"/>
                <w:color w:val="232323"/>
                <w:sz w:val="18"/>
              </w:rPr>
              <w:t>3</w:t>
            </w:r>
          </w:p>
        </w:tc>
        <w:tc>
          <w:tcPr>
            <w:tcW w:type="dxa" w:w="1800"/>
            <w:vAlign w:val="center"/>
          </w:tcPr>
          <w:p>
            <w:pPr>
              <w:spacing w:after="0" w:line="276" w:lineRule="auto"/>
            </w:pPr>
            <w:r/>
            <w:r>
              <w:rPr>
                <w:rFonts w:ascii="Microsoft YaHei" w:hAnsi="Microsoft YaHei" w:eastAsia="Microsoft YaHei"/>
                <w:b w:val="0"/>
                <w:color w:val="232323"/>
                <w:sz w:val="18"/>
              </w:rPr>
              <w:t>研究储备</w:t>
            </w:r>
          </w:p>
        </w:tc>
        <w:tc>
          <w:tcPr>
            <w:tcW w:type="dxa" w:w="3744"/>
            <w:vAlign w:val="center"/>
          </w:tcPr>
          <w:p>
            <w:pPr>
              <w:spacing w:after="0" w:line="276" w:lineRule="auto"/>
            </w:pPr>
            <w:r/>
            <w:r>
              <w:rPr>
                <w:rFonts w:ascii="Microsoft YaHei" w:hAnsi="Microsoft YaHei" w:eastAsia="Microsoft YaHei"/>
                <w:b w:val="0"/>
                <w:color w:val="232323"/>
                <w:sz w:val="18"/>
              </w:rPr>
              <w:t>先理解法规和金融材料，再设计 AI</w:t>
            </w:r>
          </w:p>
        </w:tc>
        <w:tc>
          <w:tcPr>
            <w:tcW w:type="dxa" w:w="2736"/>
            <w:vAlign w:val="center"/>
          </w:tcPr>
          <w:p>
            <w:pPr>
              <w:spacing w:after="0" w:line="276" w:lineRule="auto"/>
            </w:pPr>
            <w:r/>
            <w:r>
              <w:rPr>
                <w:rFonts w:ascii="Microsoft YaHei" w:hAnsi="Microsoft YaHei" w:eastAsia="Microsoft YaHei"/>
                <w:b w:val="0"/>
                <w:color w:val="232323"/>
                <w:sz w:val="18"/>
              </w:rPr>
              <w:t>直接讲技术</w:t>
            </w:r>
          </w:p>
        </w:tc>
      </w:tr>
      <w:tr>
        <w:tc>
          <w:tcPr>
            <w:tcW w:type="dxa" w:w="792"/>
            <w:vAlign w:val="center"/>
          </w:tcPr>
          <w:p>
            <w:pPr>
              <w:spacing w:after="0" w:line="276" w:lineRule="auto"/>
            </w:pPr>
            <w:r/>
            <w:r>
              <w:rPr>
                <w:rFonts w:ascii="Microsoft YaHei" w:hAnsi="Microsoft YaHei" w:eastAsia="Microsoft YaHei"/>
                <w:b w:val="0"/>
                <w:color w:val="232323"/>
                <w:sz w:val="18"/>
              </w:rPr>
              <w:t>4</w:t>
            </w:r>
          </w:p>
        </w:tc>
        <w:tc>
          <w:tcPr>
            <w:tcW w:type="dxa" w:w="1800"/>
            <w:vAlign w:val="center"/>
          </w:tcPr>
          <w:p>
            <w:pPr>
              <w:spacing w:after="0" w:line="276" w:lineRule="auto"/>
            </w:pPr>
            <w:r/>
            <w:r>
              <w:rPr>
                <w:rFonts w:ascii="Microsoft YaHei" w:hAnsi="Microsoft YaHei" w:eastAsia="Microsoft YaHei"/>
                <w:b w:val="0"/>
                <w:color w:val="232323"/>
                <w:sz w:val="18"/>
              </w:rPr>
              <w:t>材料语义</w:t>
            </w:r>
          </w:p>
        </w:tc>
        <w:tc>
          <w:tcPr>
            <w:tcW w:type="dxa" w:w="3744"/>
            <w:vAlign w:val="center"/>
          </w:tcPr>
          <w:p>
            <w:pPr>
              <w:spacing w:after="0" w:line="276" w:lineRule="auto"/>
            </w:pPr>
            <w:r/>
            <w:r>
              <w:rPr>
                <w:rFonts w:ascii="Microsoft YaHei" w:hAnsi="Microsoft YaHei" w:eastAsia="Microsoft YaHei"/>
                <w:b w:val="0"/>
                <w:color w:val="232323"/>
                <w:sz w:val="18"/>
              </w:rPr>
              <w:t>中证登和券商材料是两套语义</w:t>
            </w:r>
          </w:p>
        </w:tc>
        <w:tc>
          <w:tcPr>
            <w:tcW w:type="dxa" w:w="2736"/>
            <w:vAlign w:val="center"/>
          </w:tcPr>
          <w:p>
            <w:pPr>
              <w:spacing w:after="0" w:line="276" w:lineRule="auto"/>
            </w:pPr>
            <w:r/>
            <w:r>
              <w:rPr>
                <w:rFonts w:ascii="Microsoft YaHei" w:hAnsi="Microsoft YaHei" w:eastAsia="Microsoft YaHei"/>
                <w:b w:val="0"/>
                <w:color w:val="232323"/>
                <w:sz w:val="18"/>
              </w:rPr>
              <w:t>文件格式介绍</w:t>
            </w:r>
          </w:p>
        </w:tc>
      </w:tr>
      <w:tr>
        <w:tc>
          <w:tcPr>
            <w:tcW w:type="dxa" w:w="792"/>
            <w:vAlign w:val="center"/>
          </w:tcPr>
          <w:p>
            <w:pPr>
              <w:spacing w:after="0" w:line="276" w:lineRule="auto"/>
            </w:pPr>
            <w:r/>
            <w:r>
              <w:rPr>
                <w:rFonts w:ascii="Microsoft YaHei" w:hAnsi="Microsoft YaHei" w:eastAsia="Microsoft YaHei"/>
                <w:b w:val="0"/>
                <w:color w:val="232323"/>
                <w:sz w:val="18"/>
              </w:rPr>
              <w:t>5</w:t>
            </w:r>
          </w:p>
        </w:tc>
        <w:tc>
          <w:tcPr>
            <w:tcW w:type="dxa" w:w="1800"/>
            <w:vAlign w:val="center"/>
          </w:tcPr>
          <w:p>
            <w:pPr>
              <w:spacing w:after="0" w:line="276" w:lineRule="auto"/>
            </w:pPr>
            <w:r/>
            <w:r>
              <w:rPr>
                <w:rFonts w:ascii="Microsoft YaHei" w:hAnsi="Microsoft YaHei" w:eastAsia="Microsoft YaHei"/>
                <w:b w:val="0"/>
                <w:color w:val="232323"/>
                <w:sz w:val="18"/>
              </w:rPr>
              <w:t>MVP闭环</w:t>
            </w:r>
          </w:p>
        </w:tc>
        <w:tc>
          <w:tcPr>
            <w:tcW w:type="dxa" w:w="3744"/>
            <w:vAlign w:val="center"/>
          </w:tcPr>
          <w:p>
            <w:pPr>
              <w:spacing w:after="0" w:line="276" w:lineRule="auto"/>
            </w:pPr>
            <w:r/>
            <w:r>
              <w:rPr>
                <w:rFonts w:ascii="Microsoft YaHei" w:hAnsi="Microsoft YaHei" w:eastAsia="Microsoft YaHei"/>
                <w:b w:val="0"/>
                <w:color w:val="232323"/>
                <w:sz w:val="18"/>
              </w:rPr>
              <w:t>先跑通从材料到Excel的完整业务闭环</w:t>
            </w:r>
          </w:p>
        </w:tc>
        <w:tc>
          <w:tcPr>
            <w:tcW w:type="dxa" w:w="2736"/>
            <w:vAlign w:val="center"/>
          </w:tcPr>
          <w:p>
            <w:pPr>
              <w:spacing w:after="0" w:line="276" w:lineRule="auto"/>
            </w:pPr>
            <w:r/>
            <w:r>
              <w:rPr>
                <w:rFonts w:ascii="Microsoft YaHei" w:hAnsi="Microsoft YaHei" w:eastAsia="Microsoft YaHei"/>
                <w:b w:val="0"/>
                <w:color w:val="232323"/>
                <w:sz w:val="18"/>
              </w:rPr>
              <w:t>技术架构炫技</w:t>
            </w:r>
          </w:p>
        </w:tc>
      </w:tr>
      <w:tr>
        <w:tc>
          <w:tcPr>
            <w:tcW w:type="dxa" w:w="792"/>
            <w:vAlign w:val="center"/>
          </w:tcPr>
          <w:p>
            <w:pPr>
              <w:spacing w:after="0" w:line="276" w:lineRule="auto"/>
            </w:pPr>
            <w:r/>
            <w:r>
              <w:rPr>
                <w:rFonts w:ascii="Microsoft YaHei" w:hAnsi="Microsoft YaHei" w:eastAsia="Microsoft YaHei"/>
                <w:b w:val="0"/>
                <w:color w:val="232323"/>
                <w:sz w:val="18"/>
              </w:rPr>
              <w:t>6</w:t>
            </w:r>
          </w:p>
        </w:tc>
        <w:tc>
          <w:tcPr>
            <w:tcW w:type="dxa" w:w="1800"/>
            <w:vAlign w:val="center"/>
          </w:tcPr>
          <w:p>
            <w:pPr>
              <w:spacing w:after="0" w:line="276" w:lineRule="auto"/>
            </w:pPr>
            <w:r/>
            <w:r>
              <w:rPr>
                <w:rFonts w:ascii="Microsoft YaHei" w:hAnsi="Microsoft YaHei" w:eastAsia="Microsoft YaHei"/>
                <w:b w:val="0"/>
                <w:color w:val="232323"/>
                <w:sz w:val="18"/>
              </w:rPr>
              <w:t>AI分工</w:t>
            </w:r>
          </w:p>
        </w:tc>
        <w:tc>
          <w:tcPr>
            <w:tcW w:type="dxa" w:w="3744"/>
            <w:vAlign w:val="center"/>
          </w:tcPr>
          <w:p>
            <w:pPr>
              <w:spacing w:after="0" w:line="276" w:lineRule="auto"/>
            </w:pPr>
            <w:r/>
            <w:r>
              <w:rPr>
                <w:rFonts w:ascii="Microsoft YaHei" w:hAnsi="Microsoft YaHei" w:eastAsia="Microsoft YaHei"/>
                <w:b w:val="0"/>
                <w:color w:val="232323"/>
                <w:sz w:val="18"/>
              </w:rPr>
              <w:t>AI抽取，系统判断，人确认</w:t>
            </w:r>
          </w:p>
        </w:tc>
        <w:tc>
          <w:tcPr>
            <w:tcW w:type="dxa" w:w="2736"/>
            <w:vAlign w:val="center"/>
          </w:tcPr>
          <w:p>
            <w:pPr>
              <w:spacing w:after="0" w:line="276" w:lineRule="auto"/>
            </w:pPr>
            <w:r/>
            <w:r>
              <w:rPr>
                <w:rFonts w:ascii="Microsoft YaHei" w:hAnsi="Microsoft YaHei" w:eastAsia="Microsoft YaHei"/>
                <w:b w:val="0"/>
                <w:color w:val="232323"/>
                <w:sz w:val="18"/>
              </w:rPr>
              <w:t>AI替代人</w:t>
            </w:r>
          </w:p>
        </w:tc>
      </w:tr>
      <w:tr>
        <w:tc>
          <w:tcPr>
            <w:tcW w:type="dxa" w:w="792"/>
            <w:vAlign w:val="center"/>
          </w:tcPr>
          <w:p>
            <w:pPr>
              <w:spacing w:after="0" w:line="276" w:lineRule="auto"/>
            </w:pPr>
            <w:r/>
            <w:r>
              <w:rPr>
                <w:rFonts w:ascii="Microsoft YaHei" w:hAnsi="Microsoft YaHei" w:eastAsia="Microsoft YaHei"/>
                <w:b w:val="0"/>
                <w:color w:val="232323"/>
                <w:sz w:val="18"/>
              </w:rPr>
              <w:t>7</w:t>
            </w:r>
          </w:p>
        </w:tc>
        <w:tc>
          <w:tcPr>
            <w:tcW w:type="dxa" w:w="1800"/>
            <w:vAlign w:val="center"/>
          </w:tcPr>
          <w:p>
            <w:pPr>
              <w:spacing w:after="0" w:line="276" w:lineRule="auto"/>
            </w:pPr>
            <w:r/>
            <w:r>
              <w:rPr>
                <w:rFonts w:ascii="Microsoft YaHei" w:hAnsi="Microsoft YaHei" w:eastAsia="Microsoft YaHei"/>
                <w:b w:val="0"/>
                <w:color w:val="232323"/>
                <w:sz w:val="18"/>
              </w:rPr>
              <w:t>幻觉治理</w:t>
            </w:r>
          </w:p>
        </w:tc>
        <w:tc>
          <w:tcPr>
            <w:tcW w:type="dxa" w:w="3744"/>
            <w:vAlign w:val="center"/>
          </w:tcPr>
          <w:p>
            <w:pPr>
              <w:spacing w:after="0" w:line="276" w:lineRule="auto"/>
            </w:pPr>
            <w:r/>
            <w:r>
              <w:rPr>
                <w:rFonts w:ascii="Microsoft YaHei" w:hAnsi="Microsoft YaHei" w:eastAsia="Microsoft YaHei"/>
                <w:b w:val="0"/>
                <w:color w:val="232323"/>
                <w:sz w:val="18"/>
              </w:rPr>
              <w:t>可信AI靠分层输出、异常池、规则兜底</w:t>
            </w:r>
          </w:p>
        </w:tc>
        <w:tc>
          <w:tcPr>
            <w:tcW w:type="dxa" w:w="2736"/>
            <w:vAlign w:val="center"/>
          </w:tcPr>
          <w:p>
            <w:pPr>
              <w:spacing w:after="0" w:line="276" w:lineRule="auto"/>
            </w:pPr>
            <w:r/>
            <w:r>
              <w:rPr>
                <w:rFonts w:ascii="Microsoft YaHei" w:hAnsi="Microsoft YaHei" w:eastAsia="Microsoft YaHei"/>
                <w:b w:val="0"/>
                <w:color w:val="232323"/>
                <w:sz w:val="18"/>
              </w:rPr>
              <w:t>泛泛说防幻觉</w:t>
            </w:r>
          </w:p>
        </w:tc>
      </w:tr>
      <w:tr>
        <w:tc>
          <w:tcPr>
            <w:tcW w:type="dxa" w:w="792"/>
            <w:vAlign w:val="center"/>
          </w:tcPr>
          <w:p>
            <w:pPr>
              <w:spacing w:after="0" w:line="276" w:lineRule="auto"/>
            </w:pPr>
            <w:r/>
            <w:r>
              <w:rPr>
                <w:rFonts w:ascii="Microsoft YaHei" w:hAnsi="Microsoft YaHei" w:eastAsia="Microsoft YaHei"/>
                <w:b w:val="0"/>
                <w:color w:val="232323"/>
                <w:sz w:val="18"/>
              </w:rPr>
              <w:t>8</w:t>
            </w:r>
          </w:p>
        </w:tc>
        <w:tc>
          <w:tcPr>
            <w:tcW w:type="dxa" w:w="1800"/>
            <w:vAlign w:val="center"/>
          </w:tcPr>
          <w:p>
            <w:pPr>
              <w:spacing w:after="0" w:line="276" w:lineRule="auto"/>
            </w:pPr>
            <w:r/>
            <w:r>
              <w:rPr>
                <w:rFonts w:ascii="Microsoft YaHei" w:hAnsi="Microsoft YaHei" w:eastAsia="Microsoft YaHei"/>
                <w:b w:val="0"/>
                <w:color w:val="232323"/>
                <w:sz w:val="18"/>
              </w:rPr>
              <w:t>六Sheet</w:t>
            </w:r>
          </w:p>
        </w:tc>
        <w:tc>
          <w:tcPr>
            <w:tcW w:type="dxa" w:w="3744"/>
            <w:vAlign w:val="center"/>
          </w:tcPr>
          <w:p>
            <w:pPr>
              <w:spacing w:after="0" w:line="276" w:lineRule="auto"/>
            </w:pPr>
            <w:r/>
            <w:r>
              <w:rPr>
                <w:rFonts w:ascii="Microsoft YaHei" w:hAnsi="Microsoft YaHei" w:eastAsia="Microsoft YaHei"/>
                <w:b w:val="0"/>
                <w:color w:val="232323"/>
                <w:sz w:val="18"/>
              </w:rPr>
              <w:t>输出不是报表数量，而是责任分层</w:t>
            </w:r>
          </w:p>
        </w:tc>
        <w:tc>
          <w:tcPr>
            <w:tcW w:type="dxa" w:w="2736"/>
            <w:vAlign w:val="center"/>
          </w:tcPr>
          <w:p>
            <w:pPr>
              <w:spacing w:after="0" w:line="276" w:lineRule="auto"/>
            </w:pPr>
            <w:r/>
            <w:r>
              <w:rPr>
                <w:rFonts w:ascii="Microsoft YaHei" w:hAnsi="Microsoft YaHei" w:eastAsia="Microsoft YaHei"/>
                <w:b w:val="0"/>
                <w:color w:val="232323"/>
                <w:sz w:val="18"/>
              </w:rPr>
              <w:t>功能清单</w:t>
            </w:r>
          </w:p>
        </w:tc>
      </w:tr>
      <w:tr>
        <w:tc>
          <w:tcPr>
            <w:tcW w:type="dxa" w:w="792"/>
            <w:vAlign w:val="center"/>
          </w:tcPr>
          <w:p>
            <w:pPr>
              <w:spacing w:after="0" w:line="276" w:lineRule="auto"/>
            </w:pPr>
            <w:r/>
            <w:r>
              <w:rPr>
                <w:rFonts w:ascii="Microsoft YaHei" w:hAnsi="Microsoft YaHei" w:eastAsia="Microsoft YaHei"/>
                <w:b w:val="0"/>
                <w:color w:val="232323"/>
                <w:sz w:val="18"/>
              </w:rPr>
              <w:t>9</w:t>
            </w:r>
          </w:p>
        </w:tc>
        <w:tc>
          <w:tcPr>
            <w:tcW w:type="dxa" w:w="1800"/>
            <w:vAlign w:val="center"/>
          </w:tcPr>
          <w:p>
            <w:pPr>
              <w:spacing w:after="0" w:line="276" w:lineRule="auto"/>
            </w:pPr>
            <w:r/>
            <w:r>
              <w:rPr>
                <w:rFonts w:ascii="Microsoft YaHei" w:hAnsi="Microsoft YaHei" w:eastAsia="Microsoft YaHei"/>
                <w:b w:val="0"/>
                <w:color w:val="232323"/>
                <w:sz w:val="18"/>
              </w:rPr>
              <w:t>前端复核</w:t>
            </w:r>
          </w:p>
        </w:tc>
        <w:tc>
          <w:tcPr>
            <w:tcW w:type="dxa" w:w="3744"/>
            <w:vAlign w:val="center"/>
          </w:tcPr>
          <w:p>
            <w:pPr>
              <w:spacing w:after="0" w:line="276" w:lineRule="auto"/>
            </w:pPr>
            <w:r/>
            <w:r>
              <w:rPr>
                <w:rFonts w:ascii="Microsoft YaHei" w:hAnsi="Microsoft YaHei" w:eastAsia="Microsoft YaHei"/>
                <w:b w:val="0"/>
                <w:color w:val="232323"/>
                <w:sz w:val="18"/>
              </w:rPr>
              <w:t>产品交互服务复核人员</w:t>
            </w:r>
          </w:p>
        </w:tc>
        <w:tc>
          <w:tcPr>
            <w:tcW w:type="dxa" w:w="2736"/>
            <w:vAlign w:val="center"/>
          </w:tcPr>
          <w:p>
            <w:pPr>
              <w:spacing w:after="0" w:line="276" w:lineRule="auto"/>
            </w:pPr>
            <w:r/>
            <w:r>
              <w:rPr>
                <w:rFonts w:ascii="Microsoft YaHei" w:hAnsi="Microsoft YaHei" w:eastAsia="Microsoft YaHei"/>
                <w:b w:val="0"/>
                <w:color w:val="232323"/>
                <w:sz w:val="18"/>
              </w:rPr>
              <w:t>前端技术细节</w:t>
            </w:r>
          </w:p>
        </w:tc>
      </w:tr>
      <w:tr>
        <w:tc>
          <w:tcPr>
            <w:tcW w:type="dxa" w:w="792"/>
            <w:vAlign w:val="center"/>
          </w:tcPr>
          <w:p>
            <w:pPr>
              <w:spacing w:after="0" w:line="276" w:lineRule="auto"/>
            </w:pPr>
            <w:r/>
            <w:r>
              <w:rPr>
                <w:rFonts w:ascii="Microsoft YaHei" w:hAnsi="Microsoft YaHei" w:eastAsia="Microsoft YaHei"/>
                <w:b w:val="0"/>
                <w:color w:val="232323"/>
                <w:sz w:val="18"/>
              </w:rPr>
              <w:t>10</w:t>
            </w:r>
          </w:p>
        </w:tc>
        <w:tc>
          <w:tcPr>
            <w:tcW w:type="dxa" w:w="1800"/>
            <w:vAlign w:val="center"/>
          </w:tcPr>
          <w:p>
            <w:pPr>
              <w:spacing w:after="0" w:line="276" w:lineRule="auto"/>
            </w:pPr>
            <w:r/>
            <w:r>
              <w:rPr>
                <w:rFonts w:ascii="Microsoft YaHei" w:hAnsi="Microsoft YaHei" w:eastAsia="Microsoft YaHei"/>
                <w:b w:val="0"/>
                <w:color w:val="232323"/>
                <w:sz w:val="18"/>
              </w:rPr>
              <w:t>兜底验证</w:t>
            </w:r>
          </w:p>
        </w:tc>
        <w:tc>
          <w:tcPr>
            <w:tcW w:type="dxa" w:w="3744"/>
            <w:vAlign w:val="center"/>
          </w:tcPr>
          <w:p>
            <w:pPr>
              <w:spacing w:after="0" w:line="276" w:lineRule="auto"/>
            </w:pPr>
            <w:r/>
            <w:r>
              <w:rPr>
                <w:rFonts w:ascii="Microsoft YaHei" w:hAnsi="Microsoft YaHei" w:eastAsia="Microsoft YaHei"/>
                <w:b w:val="0"/>
                <w:color w:val="232323"/>
                <w:sz w:val="18"/>
              </w:rPr>
              <w:t>复杂case沉淀为回归能力</w:t>
            </w:r>
          </w:p>
        </w:tc>
        <w:tc>
          <w:tcPr>
            <w:tcW w:type="dxa" w:w="2736"/>
            <w:vAlign w:val="center"/>
          </w:tcPr>
          <w:p>
            <w:pPr>
              <w:spacing w:after="0" w:line="276" w:lineRule="auto"/>
            </w:pPr>
            <w:r/>
            <w:r>
              <w:rPr>
                <w:rFonts w:ascii="Microsoft YaHei" w:hAnsi="Microsoft YaHei" w:eastAsia="Microsoft YaHei"/>
                <w:b w:val="0"/>
                <w:color w:val="232323"/>
                <w:sz w:val="18"/>
              </w:rPr>
              <w:t>只报测试数字</w:t>
            </w:r>
          </w:p>
        </w:tc>
      </w:tr>
      <w:tr>
        <w:tc>
          <w:tcPr>
            <w:tcW w:type="dxa" w:w="792"/>
            <w:vAlign w:val="center"/>
          </w:tcPr>
          <w:p>
            <w:pPr>
              <w:spacing w:after="0" w:line="276" w:lineRule="auto"/>
            </w:pPr>
            <w:r/>
            <w:r>
              <w:rPr>
                <w:rFonts w:ascii="Microsoft YaHei" w:hAnsi="Microsoft YaHei" w:eastAsia="Microsoft YaHei"/>
                <w:b w:val="0"/>
                <w:color w:val="232323"/>
                <w:sz w:val="18"/>
              </w:rPr>
              <w:t>11</w:t>
            </w:r>
          </w:p>
        </w:tc>
        <w:tc>
          <w:tcPr>
            <w:tcW w:type="dxa" w:w="1800"/>
            <w:vAlign w:val="center"/>
          </w:tcPr>
          <w:p>
            <w:pPr>
              <w:spacing w:after="0" w:line="276" w:lineRule="auto"/>
            </w:pPr>
            <w:r/>
            <w:r>
              <w:rPr>
                <w:rFonts w:ascii="Microsoft YaHei" w:hAnsi="Microsoft YaHei" w:eastAsia="Microsoft YaHei"/>
                <w:b w:val="0"/>
                <w:color w:val="232323"/>
                <w:sz w:val="18"/>
              </w:rPr>
              <w:t>正常演示</w:t>
            </w:r>
          </w:p>
        </w:tc>
        <w:tc>
          <w:tcPr>
            <w:tcW w:type="dxa" w:w="3744"/>
            <w:vAlign w:val="center"/>
          </w:tcPr>
          <w:p>
            <w:pPr>
              <w:spacing w:after="0" w:line="276" w:lineRule="auto"/>
            </w:pPr>
            <w:r/>
            <w:r>
              <w:rPr>
                <w:rFonts w:ascii="Microsoft YaHei" w:hAnsi="Microsoft YaHei" w:eastAsia="Microsoft YaHei"/>
                <w:b w:val="0"/>
                <w:color w:val="232323"/>
                <w:sz w:val="18"/>
              </w:rPr>
              <w:t>正常材料能跑通闭环</w:t>
            </w:r>
          </w:p>
        </w:tc>
        <w:tc>
          <w:tcPr>
            <w:tcW w:type="dxa" w:w="2736"/>
            <w:vAlign w:val="center"/>
          </w:tcPr>
          <w:p>
            <w:pPr>
              <w:spacing w:after="0" w:line="276" w:lineRule="auto"/>
            </w:pPr>
            <w:r/>
            <w:r>
              <w:rPr>
                <w:rFonts w:ascii="Microsoft YaHei" w:hAnsi="Microsoft YaHei" w:eastAsia="Microsoft YaHei"/>
                <w:b w:val="0"/>
                <w:color w:val="232323"/>
                <w:sz w:val="18"/>
              </w:rPr>
              <w:t>点按钮演示</w:t>
            </w:r>
          </w:p>
        </w:tc>
      </w:tr>
      <w:tr>
        <w:tc>
          <w:tcPr>
            <w:tcW w:type="dxa" w:w="792"/>
            <w:vAlign w:val="center"/>
          </w:tcPr>
          <w:p>
            <w:pPr>
              <w:spacing w:after="0" w:line="276" w:lineRule="auto"/>
            </w:pPr>
            <w:r/>
            <w:r>
              <w:rPr>
                <w:rFonts w:ascii="Microsoft YaHei" w:hAnsi="Microsoft YaHei" w:eastAsia="Microsoft YaHei"/>
                <w:b w:val="0"/>
                <w:color w:val="232323"/>
                <w:sz w:val="18"/>
              </w:rPr>
              <w:t>12</w:t>
            </w:r>
          </w:p>
        </w:tc>
        <w:tc>
          <w:tcPr>
            <w:tcW w:type="dxa" w:w="1800"/>
            <w:vAlign w:val="center"/>
          </w:tcPr>
          <w:p>
            <w:pPr>
              <w:spacing w:after="0" w:line="276" w:lineRule="auto"/>
            </w:pPr>
            <w:r/>
            <w:r>
              <w:rPr>
                <w:rFonts w:ascii="Microsoft YaHei" w:hAnsi="Microsoft YaHei" w:eastAsia="Microsoft YaHei"/>
                <w:b w:val="0"/>
                <w:color w:val="232323"/>
                <w:sz w:val="18"/>
              </w:rPr>
              <w:t>高难演示</w:t>
            </w:r>
          </w:p>
        </w:tc>
        <w:tc>
          <w:tcPr>
            <w:tcW w:type="dxa" w:w="3744"/>
            <w:vAlign w:val="center"/>
          </w:tcPr>
          <w:p>
            <w:pPr>
              <w:spacing w:after="0" w:line="276" w:lineRule="auto"/>
            </w:pPr>
            <w:r/>
            <w:r>
              <w:rPr>
                <w:rFonts w:ascii="Microsoft YaHei" w:hAnsi="Microsoft YaHei" w:eastAsia="Microsoft YaHei"/>
                <w:b w:val="0"/>
                <w:color w:val="232323"/>
                <w:sz w:val="18"/>
              </w:rPr>
              <w:t>系统知道何时停下来</w:t>
            </w:r>
          </w:p>
        </w:tc>
        <w:tc>
          <w:tcPr>
            <w:tcW w:type="dxa" w:w="2736"/>
            <w:vAlign w:val="center"/>
          </w:tcPr>
          <w:p>
            <w:pPr>
              <w:spacing w:after="0" w:line="276" w:lineRule="auto"/>
            </w:pPr>
            <w:r/>
            <w:r>
              <w:rPr>
                <w:rFonts w:ascii="Microsoft YaHei" w:hAnsi="Microsoft YaHei" w:eastAsia="Microsoft YaHei"/>
                <w:b w:val="0"/>
                <w:color w:val="232323"/>
                <w:sz w:val="18"/>
              </w:rPr>
              <w:t>展示失败</w:t>
            </w:r>
          </w:p>
        </w:tc>
      </w:tr>
      <w:tr>
        <w:tc>
          <w:tcPr>
            <w:tcW w:type="dxa" w:w="792"/>
            <w:vAlign w:val="center"/>
          </w:tcPr>
          <w:p>
            <w:pPr>
              <w:spacing w:after="0" w:line="276" w:lineRule="auto"/>
            </w:pPr>
            <w:r/>
            <w:r>
              <w:rPr>
                <w:rFonts w:ascii="Microsoft YaHei" w:hAnsi="Microsoft YaHei" w:eastAsia="Microsoft YaHei"/>
                <w:b w:val="0"/>
                <w:color w:val="232323"/>
                <w:sz w:val="18"/>
              </w:rPr>
              <w:t>13</w:t>
            </w:r>
          </w:p>
        </w:tc>
        <w:tc>
          <w:tcPr>
            <w:tcW w:type="dxa" w:w="1800"/>
            <w:vAlign w:val="center"/>
          </w:tcPr>
          <w:p>
            <w:pPr>
              <w:spacing w:after="0" w:line="276" w:lineRule="auto"/>
            </w:pPr>
            <w:r/>
            <w:r>
              <w:rPr>
                <w:rFonts w:ascii="Microsoft YaHei" w:hAnsi="Microsoft YaHei" w:eastAsia="Microsoft YaHei"/>
                <w:b w:val="0"/>
                <w:color w:val="232323"/>
                <w:sz w:val="18"/>
              </w:rPr>
              <w:t>指标路线</w:t>
            </w:r>
          </w:p>
        </w:tc>
        <w:tc>
          <w:tcPr>
            <w:tcW w:type="dxa" w:w="3744"/>
            <w:vAlign w:val="center"/>
          </w:tcPr>
          <w:p>
            <w:pPr>
              <w:spacing w:after="0" w:line="276" w:lineRule="auto"/>
            </w:pPr>
            <w:r/>
            <w:r>
              <w:rPr>
                <w:rFonts w:ascii="Microsoft YaHei" w:hAnsi="Microsoft YaHei" w:eastAsia="Microsoft YaHei"/>
                <w:b w:val="0"/>
                <w:color w:val="232323"/>
                <w:sz w:val="18"/>
              </w:rPr>
              <w:t>用产品化指标评价AI应用</w:t>
            </w:r>
          </w:p>
        </w:tc>
        <w:tc>
          <w:tcPr>
            <w:tcW w:type="dxa" w:w="2736"/>
            <w:vAlign w:val="center"/>
          </w:tcPr>
          <w:p>
            <w:pPr>
              <w:spacing w:after="0" w:line="276" w:lineRule="auto"/>
            </w:pPr>
            <w:r/>
            <w:r>
              <w:rPr>
                <w:rFonts w:ascii="Microsoft YaHei" w:hAnsi="Microsoft YaHei" w:eastAsia="Microsoft YaHei"/>
                <w:b w:val="0"/>
                <w:color w:val="232323"/>
                <w:sz w:val="18"/>
              </w:rPr>
              <w:t>未来规划空话</w:t>
            </w:r>
          </w:p>
        </w:tc>
      </w:tr>
      <w:tr>
        <w:tc>
          <w:tcPr>
            <w:tcW w:type="dxa" w:w="792"/>
            <w:vAlign w:val="center"/>
          </w:tcPr>
          <w:p>
            <w:pPr>
              <w:spacing w:after="0" w:line="276" w:lineRule="auto"/>
            </w:pPr>
            <w:r/>
            <w:r>
              <w:rPr>
                <w:rFonts w:ascii="Microsoft YaHei" w:hAnsi="Microsoft YaHei" w:eastAsia="Microsoft YaHei"/>
                <w:b w:val="0"/>
                <w:color w:val="232323"/>
                <w:sz w:val="18"/>
              </w:rPr>
              <w:t>14</w:t>
            </w:r>
          </w:p>
        </w:tc>
        <w:tc>
          <w:tcPr>
            <w:tcW w:type="dxa" w:w="1800"/>
            <w:vAlign w:val="center"/>
          </w:tcPr>
          <w:p>
            <w:pPr>
              <w:spacing w:after="0" w:line="276" w:lineRule="auto"/>
            </w:pPr>
            <w:r/>
            <w:r>
              <w:rPr>
                <w:rFonts w:ascii="Microsoft YaHei" w:hAnsi="Microsoft YaHei" w:eastAsia="Microsoft YaHei"/>
                <w:b w:val="0"/>
                <w:color w:val="232323"/>
                <w:sz w:val="18"/>
              </w:rPr>
              <w:t>国际经验</w:t>
            </w:r>
          </w:p>
        </w:tc>
        <w:tc>
          <w:tcPr>
            <w:tcW w:type="dxa" w:w="3744"/>
            <w:vAlign w:val="center"/>
          </w:tcPr>
          <w:p>
            <w:pPr>
              <w:spacing w:after="0" w:line="276" w:lineRule="auto"/>
            </w:pPr>
            <w:r/>
            <w:r>
              <w:rPr>
                <w:rFonts w:ascii="Microsoft YaHei" w:hAnsi="Microsoft YaHei" w:eastAsia="Microsoft YaHei"/>
                <w:b w:val="0"/>
                <w:color w:val="232323"/>
                <w:sz w:val="18"/>
              </w:rPr>
              <w:t>context/memory/harness/skills落到项目实践</w:t>
            </w:r>
          </w:p>
        </w:tc>
        <w:tc>
          <w:tcPr>
            <w:tcW w:type="dxa" w:w="2736"/>
            <w:vAlign w:val="center"/>
          </w:tcPr>
          <w:p>
            <w:pPr>
              <w:spacing w:after="0" w:line="276" w:lineRule="auto"/>
            </w:pPr>
            <w:r/>
            <w:r>
              <w:rPr>
                <w:rFonts w:ascii="Microsoft YaHei" w:hAnsi="Microsoft YaHei" w:eastAsia="Microsoft YaHei"/>
                <w:b w:val="0"/>
                <w:color w:val="232323"/>
                <w:sz w:val="18"/>
              </w:rPr>
              <w:t>堆概念</w:t>
            </w:r>
          </w:p>
        </w:tc>
      </w:tr>
      <w:tr>
        <w:tc>
          <w:tcPr>
            <w:tcW w:type="dxa" w:w="792"/>
            <w:vAlign w:val="center"/>
          </w:tcPr>
          <w:p>
            <w:pPr>
              <w:spacing w:after="0" w:line="276" w:lineRule="auto"/>
            </w:pPr>
            <w:r/>
            <w:r>
              <w:rPr>
                <w:rFonts w:ascii="Microsoft YaHei" w:hAnsi="Microsoft YaHei" w:eastAsia="Microsoft YaHei"/>
                <w:b w:val="0"/>
                <w:color w:val="232323"/>
                <w:sz w:val="18"/>
              </w:rPr>
              <w:t>15</w:t>
            </w:r>
          </w:p>
        </w:tc>
        <w:tc>
          <w:tcPr>
            <w:tcW w:type="dxa" w:w="1800"/>
            <w:vAlign w:val="center"/>
          </w:tcPr>
          <w:p>
            <w:pPr>
              <w:spacing w:after="0" w:line="276" w:lineRule="auto"/>
            </w:pPr>
            <w:r/>
            <w:r>
              <w:rPr>
                <w:rFonts w:ascii="Microsoft YaHei" w:hAnsi="Microsoft YaHei" w:eastAsia="Microsoft YaHei"/>
                <w:b w:val="0"/>
                <w:color w:val="232323"/>
                <w:sz w:val="18"/>
              </w:rPr>
              <w:t>收束</w:t>
            </w:r>
          </w:p>
        </w:tc>
        <w:tc>
          <w:tcPr>
            <w:tcW w:type="dxa" w:w="3744"/>
            <w:vAlign w:val="center"/>
          </w:tcPr>
          <w:p>
            <w:pPr>
              <w:spacing w:after="0" w:line="276" w:lineRule="auto"/>
            </w:pPr>
            <w:r/>
            <w:r>
              <w:rPr>
                <w:rFonts w:ascii="Microsoft YaHei" w:hAnsi="Microsoft YaHei" w:eastAsia="Microsoft YaHei"/>
                <w:b w:val="0"/>
                <w:color w:val="232323"/>
                <w:sz w:val="18"/>
              </w:rPr>
              <w:t>我能把AI能力变成真实业务产品能力</w:t>
            </w:r>
          </w:p>
        </w:tc>
        <w:tc>
          <w:tcPr>
            <w:tcW w:type="dxa" w:w="2736"/>
            <w:vAlign w:val="center"/>
          </w:tcPr>
          <w:p>
            <w:pPr>
              <w:spacing w:after="0" w:line="276" w:lineRule="auto"/>
            </w:pPr>
            <w:r/>
            <w:r>
              <w:rPr>
                <w:rFonts w:ascii="Microsoft YaHei" w:hAnsi="Microsoft YaHei" w:eastAsia="Microsoft YaHei"/>
                <w:b w:val="0"/>
                <w:color w:val="232323"/>
                <w:sz w:val="18"/>
              </w:rPr>
              <w:t>感谢页</w:t>
            </w:r>
          </w:p>
        </w:tc>
      </w:tr>
    </w:tbl>
    <w:p>
      <w:pPr>
        <w:spacing w:before="240" w:after="120"/>
      </w:pPr>
      <w:r>
        <w:rPr>
          <w:rFonts w:ascii="Microsoft YaHei" w:hAnsi="Microsoft YaHei" w:eastAsia="Microsoft YaHei"/>
          <w:b/>
          <w:color w:val="1F4D78"/>
          <w:sz w:val="32"/>
        </w:rPr>
        <w:t>三、逐页内容母稿</w:t>
      </w:r>
    </w:p>
    <w:p>
      <w:pPr>
        <w:spacing w:before="160" w:after="80"/>
      </w:pPr>
      <w:r>
        <w:rPr>
          <w:rFonts w:ascii="Microsoft YaHei" w:hAnsi="Microsoft YaHei" w:eastAsia="Microsoft YaHei"/>
          <w:b/>
          <w:color w:val="1F4D78"/>
          <w:sz w:val="26"/>
        </w:rPr>
        <w:t>01. 自我介绍与课题定位</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让面试官先知道：这个项目是为 AI 应用岗位而选，不是一个随机 demo。</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标题：基金公司员工证券投资申报复核系统。副标题：从真实合规复核问题到可信 AI 工作流。三行关键词：真实业务、AI工作流、可复核交付。</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我想先说明这个项目的定位。我做的不是一个单纯的OCR或表格提取工具，而是选择了基金公司员工证券投资申报复核这个真实场景，来证明我对 AI 应用岗位的理解：要能理解业务、设计流程、引入AI、控制风险，并最终形成可交付的产品。</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接下来我先讲为什么这个题值得做，而不是直接讲系统功能。</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160" w:after="80"/>
      </w:pPr>
      <w:r>
        <w:rPr>
          <w:rFonts w:ascii="Microsoft YaHei" w:hAnsi="Microsoft YaHei" w:eastAsia="Microsoft YaHei"/>
          <w:b/>
          <w:color w:val="1F4D78"/>
          <w:sz w:val="26"/>
        </w:rPr>
        <w:t>02. 为什么选择员工证券投资申报复核</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把问题价值说清楚：这不是填表，而是一个责任明确的合规复核问题。</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页面放一张“材料复杂 -&gt; 结论清楚”的逻辑图。左侧：中证登、券商流水、持仓、身份、负向证明。右侧：最终申报结论、待复核问题、责任链。</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这个场景的难点在于：材料来源很多，格式不统一，但最后的结论必须清楚。复核人员真正关心的不是模型读到了多少字，而是谁需要申报、哪些交易进入最终申报表、哪些信息只做留痕、哪些情况必须人工判断。</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为了不把 AI 建在空中，我先做了法规和业务研究，把要求拆成系统审查点。</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160" w:after="80"/>
      </w:pPr>
      <w:r>
        <w:rPr>
          <w:rFonts w:ascii="Microsoft YaHei" w:hAnsi="Microsoft YaHei" w:eastAsia="Microsoft YaHei"/>
          <w:b/>
          <w:color w:val="1F4D78"/>
          <w:sz w:val="26"/>
        </w:rPr>
        <w:t>03. 法规与业务研究：把要求拆成审查点</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证明你不是直接把材料丢给AI，而是先做了业务建模。</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分两栏：法律研究、金融业务研究。法律研究写：申报主体、申报流程、审查点、异常情况。金融业务研究写：中证登申报表、广发证券流水、持仓/账户语义。</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法规研究不是为了在PPT里背条文，而是为了把抽象要求拆成系统能检查的问题：申报主体是谁、什么材料能证明、什么交易需要申报、什么情况必须人工复核。业务研究则让我理解中证登和券商材料不是一套语言，不能混在一起让模型猜。</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有了这些审查点之后，下一步是理解材料本身的语义差异。</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160" w:after="80"/>
      </w:pPr>
      <w:r>
        <w:rPr>
          <w:rFonts w:ascii="Microsoft YaHei" w:hAnsi="Microsoft YaHei" w:eastAsia="Microsoft YaHei"/>
          <w:b/>
          <w:color w:val="1F4D78"/>
          <w:sz w:val="26"/>
        </w:rPr>
        <w:t>04. 材料语义：中证登和券商材料不是同一套语言</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把业务复杂性讲通俗，让面试官知道系统为什么需要分流和规则。</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左右对比。中证登：账户、登记、持仓、主体关系。券商：交易流水、资金流水、红利利息、银行转账。底部结论：先识别材料，再进入不同处理逻辑。</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中证登更像账户和持仓视角，适合确认这个人有没有账户、有没有持仓。券商流水更像交易和资金视角，但里面会混有红利、利息、银行转账等不应直接进入最终申报的记录。所以系统必须先分清材料类型，再决定怎么处理。</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在这个基础上，我没有先做一个大而全系统，而是先设计了一个能跑通的 MVP 闭环。</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160" w:after="80"/>
      </w:pPr>
      <w:r>
        <w:rPr>
          <w:rFonts w:ascii="Microsoft YaHei" w:hAnsi="Microsoft YaHei" w:eastAsia="Microsoft YaHei"/>
          <w:b/>
          <w:color w:val="1F4D78"/>
          <w:sz w:val="26"/>
        </w:rPr>
        <w:t>05. MVP设计：先跑通从材料到Excel的闭环</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讲系统设计原则：先闭环，后扩展。</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流程图：上传材料 -&gt; 材料识别 -&gt; OCR/PDF解析 -&gt; AI抽取 -&gt; 规则校验 -&gt; 人工复核 -&gt; 六Sheet导出。旁边写：本地Web应用、FastAPI、前端复核页、本地JSON/文件。</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我先做的是 MVP，不追求一开始覆盖所有材料，而是让一个复核任务从材料上传到Excel导出完整跑通。这个闭环里，AI不是孤立存在的，而是被放在材料识别、结构化抽取、规则校验和人工复核之间。</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闭环跑通之后，关键问题就是：AI到底放在哪一层，承担什么责任。</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160" w:after="80"/>
      </w:pPr>
      <w:r>
        <w:rPr>
          <w:rFonts w:ascii="Microsoft YaHei" w:hAnsi="Microsoft YaHei" w:eastAsia="Microsoft YaHei"/>
          <w:b/>
          <w:color w:val="1F4D78"/>
          <w:sz w:val="26"/>
        </w:rPr>
        <w:t>06. AI如何引入：AI抽取，系统判断，人确认</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讲清楚 AI 的边界，这是 AI 应用岗位最核心的表达。</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三段式图：AI做理解抽取；系统做规则判断；人做最终确认。每段下面放两个关键词：AI=非结构化-&gt;JSON；系统=normalizer/resolver；人=复核保存/导出门禁。</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我的设计不是让模型直接回答是否合规。AI负责从PDF、表格、OCR文本中抽取事实；系统规则层负责判断哪些进最终表、哪些进完整表、哪些进入待复核；人工复核承担最终确认。这样模型有价值，但不会越权。</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只要引入AI，就必须面对幻觉和不确定性，所以我单独设计了可信控制。</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160" w:after="80"/>
      </w:pPr>
      <w:r>
        <w:rPr>
          <w:rFonts w:ascii="Microsoft YaHei" w:hAnsi="Microsoft YaHei" w:eastAsia="Microsoft YaHei"/>
          <w:b/>
          <w:color w:val="1F4D78"/>
          <w:sz w:val="26"/>
        </w:rPr>
        <w:t>07. 克服AI幻觉：结果分层、异常池、规则兜底</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这是最重要的技术/产品能力页，证明你理解可信AI。</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画三道防线：1 先抽取再判断；2 最终表/完整表/待复核问题/checklist分层；3 代码规则兜底。重点突出 problem_events 异常池。</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我对AI幻觉的处理不是写一句‘请不要幻觉’，而是改流程。第一，先让AI抽取事实，不让它直接下合规结论。第二，输出分层，不确定内容进入待复核问题。第三，用代码规则兜底，例如红利、利息、银行转账不应误入最终申报表；未知事件进入 problem_events，而不是被模型强行解释。</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这些控制最后会体现在交付物上，也就是六个 Sheet 的分工。</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160" w:after="80"/>
      </w:pPr>
      <w:r>
        <w:rPr>
          <w:rFonts w:ascii="Microsoft YaHei" w:hAnsi="Microsoft YaHei" w:eastAsia="Microsoft YaHei"/>
          <w:b/>
          <w:color w:val="1F4D78"/>
          <w:sz w:val="26"/>
        </w:rPr>
        <w:t>08. 六Sheet输出：不是表多，而是责任分层</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把输出讲成业务交付，而不是功能清单。</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表格列六个Sheet：最终申报表、完整表、待复核问题、持仓、身份信息、checklist结果。每个Sheet只写一句责任。</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六个Sheet不是为了显得功能多，而是对应不同责任。最终申报表承接正式结论，完整表保留证据链，待复核问题承接不确定性，持仓和身份信息补申报语境，checklist记录文件级问题和流程检查。这样复核人员看到的不只是AI结果，而是一套可交付的复核材料。</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交付物之外，还要让复核人员真正能用，所以我整理了前端复核逻辑。</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160" w:after="80"/>
      </w:pPr>
      <w:r>
        <w:rPr>
          <w:rFonts w:ascii="Microsoft YaHei" w:hAnsi="Microsoft YaHei" w:eastAsia="Microsoft YaHei"/>
          <w:b/>
          <w:color w:val="1F4D78"/>
          <w:sz w:val="26"/>
        </w:rPr>
        <w:t>09. 前端复核：让复核人员真正能用</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体现产品意识：AI应用不是后台脚本，而是人机协作工具。</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页面示意：左侧任务/材料，中央复核结果，右侧问题清单。重点标出：可编辑、保存复核、reviewDirty、保存后导出。</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我没有把系统做成命令行脚本，而是围绕复核人员设计交互。复核人员要能看到最终表、完整表和问题清单，能修改结果，修改后必须保存；如果复核内容变脏，系统不能直接导出。导出前必须有人工确认，这就是产品层面的责任门禁。</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有了流程和交互，还要证明系统不是只在一个样例上碰巧能跑。</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r>
        <w:br w:type="page"/>
      </w:r>
    </w:p>
    <w:p>
      <w:pPr>
        <w:spacing w:before="160" w:after="80"/>
      </w:pPr>
      <w:r>
        <w:rPr>
          <w:rFonts w:ascii="Microsoft YaHei" w:hAnsi="Microsoft YaHei" w:eastAsia="Microsoft YaHei"/>
          <w:b/>
          <w:color w:val="1F4D78"/>
          <w:sz w:val="26"/>
        </w:rPr>
        <w:t>10. 兜底思维：复杂case沉淀为回归能力</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讲测试的意义，而不是只报数字。</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左侧：正常case能跑通。右侧：复杂case能停下。底部：回归测试覆盖广发业务事件、中证登事件、负向证明、文件级问题、前端导出锁。</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AI应用不是一次demo，而是要面对脏数据和边界情况。每解决一个复杂case，我都把它沉淀成规则或测试。这样系统不是只会跑一个样例，而是每次踩过的坑都变成下次不会退化的能力。</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接下来演示时，先展示正常闭环，再展示复杂情况系统如何停下来。</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r>
        <w:tc>
          <w:tcPr>
            <w:tcW w:type="dxa" w:w="1699"/>
            <w:vAlign w:val="center"/>
            <w:shd w:fill="FFF3CD"/>
          </w:tcPr>
          <w:p>
            <w:pPr>
              <w:spacing w:after="0" w:line="276" w:lineRule="auto"/>
            </w:pPr>
            <w:r/>
            <w:r>
              <w:rPr>
                <w:rFonts w:ascii="Microsoft YaHei" w:hAnsi="Microsoft YaHei" w:eastAsia="Microsoft YaHei"/>
                <w:b/>
                <w:color w:val="1F4D78"/>
                <w:sz w:val="19"/>
              </w:rPr>
              <w:t>制作备注</w:t>
            </w:r>
          </w:p>
        </w:tc>
        <w:tc>
          <w:tcPr>
            <w:tcW w:type="dxa" w:w="7373"/>
            <w:vAlign w:val="center"/>
            <w:shd w:fill="FFF3CD"/>
          </w:tcPr>
          <w:p>
            <w:pPr>
              <w:spacing w:after="0" w:line="276" w:lineRule="auto"/>
            </w:pPr>
            <w:r/>
            <w:r>
              <w:rPr>
                <w:rFonts w:ascii="Microsoft YaHei" w:hAnsi="Microsoft YaHei" w:eastAsia="Microsoft YaHei"/>
                <w:b w:val="0"/>
                <w:color w:val="232323"/>
                <w:sz w:val="19"/>
              </w:rPr>
              <w:t>当前本地测试结果为 70 tests / 1 failure，失败点为证券账户映射相关case。正式PPT中不要写“全部通过”，演示前修复后再更新数字。</w:t>
            </w:r>
          </w:p>
        </w:tc>
      </w:tr>
    </w:tbl>
    <w:p>
      <w:pPr>
        <w:spacing w:after="80"/>
      </w:pPr>
    </w:p>
    <w:p>
      <w:pPr>
        <w:spacing w:before="160" w:after="80"/>
      </w:pPr>
      <w:r>
        <w:rPr>
          <w:rFonts w:ascii="Microsoft YaHei" w:hAnsi="Microsoft YaHei" w:eastAsia="Microsoft YaHei"/>
          <w:b/>
          <w:color w:val="1F4D78"/>
          <w:sz w:val="26"/>
        </w:rPr>
        <w:t>11. 正常演示：case_022跑通完整闭环</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把demo设计成故事线，而不是点击流程。</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演示路线图：上传广发PDF -&gt; 识别direct_pdf -&gt; 生成六Sheet -&gt; 查看最终表/完整表 -&gt; 保存复核 -&gt; 导出Excel。旁边放可量化结果：2页、文本5529、完整表10条、最终表6条、持仓3条、排除4条股息入账。</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正常演示要证明的是：系统可以从真实材料走到可交付Excel。这里重点看两个地方：第一，最终申报表和完整表不是一回事；第二，人工复核保存后才允许导出。这说明系统不是只做抽取，而是在跑业务闭环。</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正常case证明能跑通，高难case证明系统有边界感。</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r>
        <w:br w:type="page"/>
      </w:r>
    </w:p>
    <w:p>
      <w:pPr>
        <w:spacing w:before="160" w:after="80"/>
      </w:pPr>
      <w:r>
        <w:rPr>
          <w:rFonts w:ascii="Microsoft YaHei" w:hAnsi="Microsoft YaHei" w:eastAsia="Microsoft YaHei"/>
          <w:b/>
          <w:color w:val="1F4D78"/>
          <w:sz w:val="26"/>
        </w:rPr>
        <w:t>12. 高难度演示：系统知道哪里该停下来</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证明可信AI不是永远给答案，而是能识别不确定性。</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列五类边界卡片：同日同证券多笔不同价交易、普通交易只见于资金流水、无账户/无交易/无持仓、OCR遮挡/涂抹、未知事件。每类写系统处理：不误合并、进完整表并提示复核、作为负向证明、文件级问题、problem_events。</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高难度演示不是展示系统失败，而是展示系统知道什么时候该停下来。比如仅有资金流水时，不直接推断交易；OCR质量有问题时，不静默输出；未知事件不强行解释，而是进入异常池。</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到这里，项目已经从业务、AI、产品、验证讲完整了，下一步可以讲如何评价这个AI应用是否值得继续做。</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160" w:after="80"/>
      </w:pPr>
      <w:r>
        <w:rPr>
          <w:rFonts w:ascii="Microsoft YaHei" w:hAnsi="Microsoft YaHei" w:eastAsia="Microsoft YaHei"/>
          <w:b/>
          <w:color w:val="1F4D78"/>
          <w:sz w:val="26"/>
        </w:rPr>
        <w:t>13. 指标与路线图：用产品化视角评价AI应用</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体现你不是只做作品展示，而是会想产品迭代。</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四类指标：效率、质量、稳定、业务。路线图：短期补关键材料能力；中期补批量任务和差异记录；长期补权限、审计日志、模型评估集。</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AI应用不能只说能不能跑，还要有评价指标。效率看单案处理时间和人工录入字段减少，质量看关键字段缺失率和误入最终申报率，稳定看OCR失败页和模型截断率，业务看六Sheet完整度和保存复核后导出率。路线图上，先补关键材料能力，再补治理和规模化能力。</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最后我想把这个项目放到更大的AI应用趋势里看。</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r>
        <w:br w:type="page"/>
      </w:r>
    </w:p>
    <w:p>
      <w:pPr>
        <w:spacing w:before="160" w:after="80"/>
      </w:pPr>
      <w:r>
        <w:rPr>
          <w:rFonts w:ascii="Microsoft YaHei" w:hAnsi="Microsoft YaHei" w:eastAsia="Microsoft YaHei"/>
          <w:b/>
          <w:color w:val="1F4D78"/>
          <w:sz w:val="26"/>
        </w:rPr>
        <w:t>14. agent时代的AI使用方式：从项目实践到方法论</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方法论升华，但必须落回项目，不讲空概念。</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四个词：Context to Memory、Harness not asking、Thin Agent Fat Skills、Evolution。每个词下面只写项目做法。</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这个项目让我形成了对AI应用的理解。第一，不是每次把所有东西塞进上下文，而是把经验沉淀成规则、prompt、测试和文档。第二，不是只问模型，而是给模型搭harness：schema、工具、规则、人工审批。第三，agent可以轻，但skills要厚，业务知识要沉淀在流程、规则和测试里。第四，系统要能通过复杂case持续进化。</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最后回到岗位：这个项目能证明我适合做什么样的AI应用工作。</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160" w:after="80"/>
      </w:pPr>
      <w:r>
        <w:rPr>
          <w:rFonts w:ascii="Microsoft YaHei" w:hAnsi="Microsoft YaHei" w:eastAsia="Microsoft YaHei"/>
          <w:b/>
          <w:color w:val="1F4D78"/>
          <w:sz w:val="26"/>
        </w:rPr>
        <w:t>15. 岗位能力总结与结尾</w:t>
      </w:r>
    </w:p>
    <w:tbl>
      <w:tblPr>
        <w:tblStyle w:val="TableGrid"/>
        <w:tblW w:type="auto" w:w="0"/>
        <w:tblLayout w:type="fixed"/>
        <w:tblLook w:firstColumn="1" w:firstRow="1" w:lastColumn="0" w:lastRow="0" w:noHBand="0" w:noVBand="1" w:val="04A0"/>
      </w:tblPr>
      <w:tblGrid>
        <w:gridCol w:w="4824"/>
        <w:gridCol w:w="4824"/>
      </w:tblGrid>
      <w:tr>
        <w:tc>
          <w:tcPr>
            <w:tcW w:type="dxa" w:w="1699"/>
            <w:vAlign w:val="center"/>
            <w:shd w:fill="E8EEF5"/>
          </w:tcPr>
          <w:p>
            <w:pPr>
              <w:spacing w:after="0" w:line="276" w:lineRule="auto"/>
            </w:pPr>
            <w:r/>
            <w:r>
              <w:rPr>
                <w:rFonts w:ascii="Microsoft YaHei" w:hAnsi="Microsoft YaHei" w:eastAsia="Microsoft YaHei"/>
                <w:b/>
                <w:color w:val="1F4D78"/>
                <w:sz w:val="19"/>
              </w:rPr>
              <w:t>本页任务</w:t>
            </w:r>
          </w:p>
        </w:tc>
        <w:tc>
          <w:tcPr>
            <w:tcW w:type="dxa" w:w="7373"/>
            <w:vAlign w:val="center"/>
            <w:shd w:fill="E8EEF5"/>
          </w:tcPr>
          <w:p>
            <w:pPr>
              <w:spacing w:after="0" w:line="276" w:lineRule="auto"/>
            </w:pPr>
            <w:r/>
            <w:r>
              <w:rPr>
                <w:rFonts w:ascii="Microsoft YaHei" w:hAnsi="Microsoft YaHei" w:eastAsia="Microsoft YaHei"/>
                <w:b w:val="0"/>
                <w:color w:val="232323"/>
                <w:sz w:val="19"/>
              </w:rPr>
              <w:t>把项目价值转成岗位竞争力。</w:t>
            </w:r>
          </w:p>
        </w:tc>
      </w:tr>
      <w:tr>
        <w:tc>
          <w:tcPr>
            <w:tcW w:type="dxa" w:w="1699"/>
            <w:vAlign w:val="center"/>
          </w:tcPr>
          <w:p>
            <w:pPr>
              <w:spacing w:after="0" w:line="276" w:lineRule="auto"/>
            </w:pPr>
            <w:r/>
            <w:r>
              <w:rPr>
                <w:rFonts w:ascii="Microsoft YaHei" w:hAnsi="Microsoft YaHei" w:eastAsia="Microsoft YaHei"/>
                <w:b/>
                <w:color w:val="1F4D78"/>
                <w:sz w:val="19"/>
              </w:rPr>
              <w:t>PPT上放什么</w:t>
            </w:r>
          </w:p>
        </w:tc>
        <w:tc>
          <w:tcPr>
            <w:tcW w:type="dxa" w:w="7373"/>
            <w:vAlign w:val="center"/>
          </w:tcPr>
          <w:p>
            <w:pPr>
              <w:spacing w:after="0" w:line="276" w:lineRule="auto"/>
            </w:pPr>
            <w:r/>
            <w:r>
              <w:rPr>
                <w:rFonts w:ascii="Microsoft YaHei" w:hAnsi="Microsoft YaHei" w:eastAsia="Microsoft YaHei"/>
                <w:b w:val="0"/>
                <w:color w:val="232323"/>
                <w:sz w:val="19"/>
              </w:rPr>
              <w:t>能力雷达或四象限：业务理解、AI工作流设计、产品交付、工程验证。结尾一句：把AI能力转化为真实业务中可用、可控、可验证的产品能力。</w:t>
            </w:r>
          </w:p>
        </w:tc>
      </w:tr>
      <w:tr>
        <w:tc>
          <w:tcPr>
            <w:tcW w:type="dxa" w:w="1699"/>
            <w:vAlign w:val="center"/>
          </w:tcPr>
          <w:p>
            <w:pPr>
              <w:spacing w:after="0" w:line="276" w:lineRule="auto"/>
            </w:pPr>
            <w:r/>
            <w:r>
              <w:rPr>
                <w:rFonts w:ascii="Microsoft YaHei" w:hAnsi="Microsoft YaHei" w:eastAsia="Microsoft YaHei"/>
                <w:b/>
                <w:color w:val="1F4D78"/>
                <w:sz w:val="19"/>
              </w:rPr>
              <w:t>现场讲法</w:t>
            </w:r>
          </w:p>
        </w:tc>
        <w:tc>
          <w:tcPr>
            <w:tcW w:type="dxa" w:w="7373"/>
            <w:vAlign w:val="center"/>
          </w:tcPr>
          <w:p>
            <w:pPr>
              <w:spacing w:after="0" w:line="276" w:lineRule="auto"/>
            </w:pPr>
            <w:r/>
            <w:r>
              <w:rPr>
                <w:rFonts w:ascii="Microsoft YaHei" w:hAnsi="Microsoft YaHei" w:eastAsia="Microsoft YaHei"/>
                <w:b w:val="0"/>
                <w:color w:val="232323"/>
                <w:sz w:val="19"/>
              </w:rPr>
              <w:t>我希望通过这个项目说明，我不是只会调用模型，而是能从真实业务问题出发，拆解流程、设计AI分工、控制风险、做出可交付产品，并用测试和复杂case持续迭代。这也是我理解的AI应用岗位价值。</w:t>
            </w:r>
          </w:p>
        </w:tc>
      </w:tr>
      <w:tr>
        <w:tc>
          <w:tcPr>
            <w:tcW w:type="dxa" w:w="1699"/>
            <w:vAlign w:val="center"/>
          </w:tcPr>
          <w:p>
            <w:pPr>
              <w:spacing w:after="0" w:line="276" w:lineRule="auto"/>
            </w:pPr>
            <w:r/>
            <w:r>
              <w:rPr>
                <w:rFonts w:ascii="Microsoft YaHei" w:hAnsi="Microsoft YaHei" w:eastAsia="Microsoft YaHei"/>
                <w:b/>
                <w:color w:val="1F4D78"/>
                <w:sz w:val="19"/>
              </w:rPr>
              <w:t>转场句</w:t>
            </w:r>
          </w:p>
        </w:tc>
        <w:tc>
          <w:tcPr>
            <w:tcW w:type="dxa" w:w="7373"/>
            <w:vAlign w:val="center"/>
          </w:tcPr>
          <w:p>
            <w:pPr>
              <w:spacing w:after="0" w:line="276" w:lineRule="auto"/>
            </w:pPr>
            <w:r/>
            <w:r>
              <w:rPr>
                <w:rFonts w:ascii="Microsoft YaHei" w:hAnsi="Microsoft YaHei" w:eastAsia="Microsoft YaHei"/>
                <w:b w:val="0"/>
                <w:color w:val="232323"/>
                <w:sz w:val="19"/>
              </w:rPr>
              <w:t>进入Q&amp;A，优先准备回答：为什么不用纯规则、为什么不用纯大模型、如何扩展到更多券商、如何评估准确率。</w:t>
            </w:r>
          </w:p>
        </w:tc>
      </w:tr>
      <w:tr>
        <w:tc>
          <w:tcPr>
            <w:tcW w:type="dxa" w:w="1699"/>
            <w:vAlign w:val="center"/>
          </w:tcPr>
          <w:p>
            <w:pPr>
              <w:spacing w:after="0" w:line="276" w:lineRule="auto"/>
            </w:pPr>
            <w:r/>
            <w:r>
              <w:rPr>
                <w:rFonts w:ascii="Microsoft YaHei" w:hAnsi="Microsoft YaHei" w:eastAsia="Microsoft YaHei"/>
                <w:b/>
                <w:color w:val="1F4D78"/>
                <w:sz w:val="19"/>
              </w:rPr>
              <w:t>取舍提醒</w:t>
            </w:r>
          </w:p>
        </w:tc>
        <w:tc>
          <w:tcPr>
            <w:tcW w:type="dxa" w:w="7373"/>
            <w:vAlign w:val="center"/>
          </w:tcPr>
          <w:p>
            <w:pPr>
              <w:spacing w:after="0" w:line="276" w:lineRule="auto"/>
            </w:pPr>
            <w:r/>
            <w:r>
              <w:rPr>
                <w:rFonts w:ascii="Microsoft YaHei" w:hAnsi="Microsoft YaHei" w:eastAsia="Microsoft YaHei"/>
                <w:b w:val="0"/>
                <w:color w:val="232323"/>
                <w:sz w:val="19"/>
              </w:rPr>
              <w:t>这一页只服务一个结论，不把项目细节提前讲完。</w:t>
            </w:r>
          </w:p>
        </w:tc>
      </w:tr>
    </w:tbl>
    <w:p>
      <w:pPr>
        <w:spacing w:after="80"/>
      </w:pPr>
    </w:p>
    <w:p>
      <w:pPr>
        <w:spacing w:before="240" w:after="120"/>
      </w:pPr>
      <w:r>
        <w:rPr>
          <w:rFonts w:ascii="Microsoft YaHei" w:hAnsi="Microsoft YaHei" w:eastAsia="Microsoft YaHei"/>
          <w:b/>
          <w:color w:val="1F4D78"/>
          <w:sz w:val="32"/>
        </w:rPr>
        <w:t>四、现场讲述节奏建议</w:t>
      </w:r>
    </w:p>
    <w:tbl>
      <w:tblPr>
        <w:tblW w:type="auto" w:w="0"/>
        <w:tblLayout w:type="fixed"/>
        <w:tblLook w:firstColumn="1" w:firstRow="1" w:lastColumn="0" w:lastRow="0" w:noHBand="0" w:noVBand="1" w:val="04A0"/>
      </w:tblPr>
      <w:tblGrid>
        <w:gridCol w:w="9144"/>
      </w:tblGrid>
      <w:tr>
        <w:tc>
          <w:tcPr>
            <w:tcW w:type="dxa" w:w="9648"/>
            <w:shd w:fill="F4F7FA"/>
          </w:tcPr>
          <w:p>
            <w:pPr>
              <w:spacing w:after="40"/>
            </w:pPr>
            <w:r/>
            <w:r>
              <w:rPr>
                <w:rFonts w:ascii="Microsoft YaHei" w:hAnsi="Microsoft YaHei" w:eastAsia="Microsoft YaHei"/>
                <w:b/>
                <w:color w:val="1F4D78"/>
                <w:sz w:val="21"/>
              </w:rPr>
              <w:t>8-12分钟版本</w:t>
            </w:r>
          </w:p>
          <w:p>
            <w:pPr>
              <w:spacing w:after="0" w:line="283" w:lineRule="auto"/>
            </w:pPr>
            <w:r>
              <w:rPr>
                <w:rFonts w:ascii="Microsoft YaHei" w:hAnsi="Microsoft YaHei" w:eastAsia="Microsoft YaHei"/>
                <w:color w:val="232323"/>
                <w:sz w:val="20"/>
              </w:rPr>
              <w:t>前3分钟讲业务和研究，中间5分钟讲系统与AI控制，后2分钟讲演示和验证，最后1分钟讲方法论与岗位匹配。</w:t>
            </w:r>
          </w:p>
        </w:tc>
      </w:tr>
    </w:tbl>
    <w:p>
      <w:pPr>
        <w:spacing w:after="40"/>
      </w:pPr>
    </w:p>
    <w:p>
      <w:pPr>
        <w:pStyle w:val="ListBullet"/>
        <w:spacing w:after="60"/>
        <w:ind w:left="360" w:hanging="173"/>
      </w:pPr>
      <w:r>
        <w:rPr>
          <w:rFonts w:ascii="Microsoft YaHei" w:hAnsi="Microsoft YaHei" w:eastAsia="Microsoft YaHei"/>
          <w:color w:val="232323"/>
          <w:sz w:val="21"/>
        </w:rPr>
        <w:t>不要一上来演示。先让面试官理解这个问题为什么复杂，演示才有意义。</w:t>
      </w:r>
    </w:p>
    <w:p>
      <w:pPr>
        <w:pStyle w:val="ListBullet"/>
        <w:spacing w:after="60"/>
        <w:ind w:left="360" w:hanging="173"/>
      </w:pPr>
      <w:r>
        <w:rPr>
          <w:rFonts w:ascii="Microsoft YaHei" w:hAnsi="Microsoft YaHei" w:eastAsia="Microsoft YaHei"/>
          <w:color w:val="232323"/>
          <w:sz w:val="21"/>
        </w:rPr>
        <w:t>不要过度讲代码。除非被追问，否则只讲架构选择背后的业务理由。</w:t>
      </w:r>
    </w:p>
    <w:p>
      <w:pPr>
        <w:pStyle w:val="ListBullet"/>
        <w:spacing w:after="60"/>
        <w:ind w:left="360" w:hanging="173"/>
      </w:pPr>
      <w:r>
        <w:rPr>
          <w:rFonts w:ascii="Microsoft YaHei" w:hAnsi="Microsoft YaHei" w:eastAsia="Microsoft YaHei"/>
          <w:color w:val="232323"/>
          <w:sz w:val="21"/>
        </w:rPr>
        <w:t>不要把国际经验提前。它应该作为项目之后的方法论总结。</w:t>
      </w:r>
    </w:p>
    <w:p>
      <w:pPr>
        <w:pStyle w:val="ListBullet"/>
        <w:spacing w:after="60"/>
        <w:ind w:left="360" w:hanging="173"/>
      </w:pPr>
      <w:r>
        <w:rPr>
          <w:rFonts w:ascii="Microsoft YaHei" w:hAnsi="Microsoft YaHei" w:eastAsia="Microsoft YaHei"/>
          <w:color w:val="232323"/>
          <w:sz w:val="21"/>
        </w:rPr>
        <w:t>不要承诺当前测试全部通过。先修复账户映射失败，再更新数字。</w:t>
      </w:r>
    </w:p>
    <w:p>
      <w:pPr>
        <w:spacing w:before="240" w:after="120"/>
      </w:pPr>
      <w:r>
        <w:rPr>
          <w:rFonts w:ascii="Microsoft YaHei" w:hAnsi="Microsoft YaHei" w:eastAsia="Microsoft YaHei"/>
          <w:b/>
          <w:color w:val="1F4D78"/>
          <w:sz w:val="32"/>
        </w:rPr>
        <w:t>五、Q&amp;A预设</w:t>
      </w:r>
    </w:p>
    <w:tbl>
      <w:tblPr>
        <w:tblStyle w:val="TableGrid"/>
        <w:tblW w:type="auto" w:w="0"/>
        <w:tblLayout w:type="fixed"/>
        <w:tblLook w:firstColumn="1" w:firstRow="1" w:lastColumn="0" w:lastRow="0" w:noHBand="0" w:noVBand="1" w:val="04A0"/>
      </w:tblPr>
      <w:tblGrid>
        <w:gridCol w:w="4824"/>
        <w:gridCol w:w="4824"/>
      </w:tblGrid>
      <w:tr>
        <w:tc>
          <w:tcPr>
            <w:tcW w:type="dxa" w:w="2880"/>
            <w:vAlign w:val="center"/>
            <w:shd w:fill="E8EEF5"/>
          </w:tcPr>
          <w:p>
            <w:pPr>
              <w:spacing w:after="0" w:line="276" w:lineRule="auto"/>
            </w:pPr>
            <w:r/>
            <w:r>
              <w:rPr>
                <w:rFonts w:ascii="Microsoft YaHei" w:hAnsi="Microsoft YaHei" w:eastAsia="Microsoft YaHei"/>
                <w:b/>
                <w:color w:val="1F4D78"/>
                <w:sz w:val="20"/>
              </w:rPr>
              <w:t>可能被问</w:t>
            </w:r>
          </w:p>
        </w:tc>
        <w:tc>
          <w:tcPr>
            <w:tcW w:type="dxa" w:w="6192"/>
            <w:vAlign w:val="center"/>
            <w:shd w:fill="E8EEF5"/>
          </w:tcPr>
          <w:p>
            <w:pPr>
              <w:spacing w:after="0" w:line="276" w:lineRule="auto"/>
            </w:pPr>
            <w:r/>
            <w:r>
              <w:rPr>
                <w:rFonts w:ascii="Microsoft YaHei" w:hAnsi="Microsoft YaHei" w:eastAsia="Microsoft YaHei"/>
                <w:b/>
                <w:color w:val="1F4D78"/>
                <w:sz w:val="20"/>
              </w:rPr>
              <w:t>回答方向</w:t>
            </w:r>
          </w:p>
        </w:tc>
      </w:tr>
      <w:tr>
        <w:tc>
          <w:tcPr>
            <w:tcW w:type="dxa" w:w="2880"/>
            <w:vAlign w:val="center"/>
          </w:tcPr>
          <w:p>
            <w:pPr>
              <w:spacing w:after="0" w:line="276" w:lineRule="auto"/>
            </w:pPr>
            <w:r/>
            <w:r>
              <w:rPr>
                <w:rFonts w:ascii="Microsoft YaHei" w:hAnsi="Microsoft YaHei" w:eastAsia="Microsoft YaHei"/>
                <w:b/>
                <w:color w:val="232323"/>
                <w:sz w:val="19"/>
              </w:rPr>
              <w:t>为什么不用纯规则？</w:t>
            </w:r>
          </w:p>
        </w:tc>
        <w:tc>
          <w:tcPr>
            <w:tcW w:type="dxa" w:w="6192"/>
            <w:vAlign w:val="center"/>
          </w:tcPr>
          <w:p>
            <w:pPr>
              <w:spacing w:after="0" w:line="276" w:lineRule="auto"/>
            </w:pPr>
            <w:r/>
            <w:r>
              <w:rPr>
                <w:rFonts w:ascii="Microsoft YaHei" w:hAnsi="Microsoft YaHei" w:eastAsia="Microsoft YaHei"/>
                <w:b w:val="0"/>
                <w:color w:val="232323"/>
                <w:sz w:val="19"/>
              </w:rPr>
              <w:t>材料是非结构化的，规则适合判断和兜底，但前置理解和抽取需要AI帮助。</w:t>
            </w:r>
          </w:p>
        </w:tc>
      </w:tr>
      <w:tr>
        <w:tc>
          <w:tcPr>
            <w:tcW w:type="dxa" w:w="2880"/>
            <w:vAlign w:val="center"/>
          </w:tcPr>
          <w:p>
            <w:pPr>
              <w:spacing w:after="0" w:line="276" w:lineRule="auto"/>
            </w:pPr>
            <w:r/>
            <w:r>
              <w:rPr>
                <w:rFonts w:ascii="Microsoft YaHei" w:hAnsi="Microsoft YaHei" w:eastAsia="Microsoft YaHei"/>
                <w:b/>
                <w:color w:val="232323"/>
                <w:sz w:val="19"/>
              </w:rPr>
              <w:t>为什么不用纯大模型？</w:t>
            </w:r>
          </w:p>
        </w:tc>
        <w:tc>
          <w:tcPr>
            <w:tcW w:type="dxa" w:w="6192"/>
            <w:vAlign w:val="center"/>
          </w:tcPr>
          <w:p>
            <w:pPr>
              <w:spacing w:after="0" w:line="276" w:lineRule="auto"/>
            </w:pPr>
            <w:r/>
            <w:r>
              <w:rPr>
                <w:rFonts w:ascii="Microsoft YaHei" w:hAnsi="Microsoft YaHei" w:eastAsia="Microsoft YaHei"/>
                <w:b w:val="0"/>
                <w:color w:val="232323"/>
                <w:sz w:val="19"/>
              </w:rPr>
              <w:t>合规复核需要责任链，不能让模型直接下最终结论，所以必须有规则层和人工门禁。</w:t>
            </w:r>
          </w:p>
        </w:tc>
      </w:tr>
      <w:tr>
        <w:tc>
          <w:tcPr>
            <w:tcW w:type="dxa" w:w="2880"/>
            <w:vAlign w:val="center"/>
          </w:tcPr>
          <w:p>
            <w:pPr>
              <w:spacing w:after="0" w:line="276" w:lineRule="auto"/>
            </w:pPr>
            <w:r/>
            <w:r>
              <w:rPr>
                <w:rFonts w:ascii="Microsoft YaHei" w:hAnsi="Microsoft YaHei" w:eastAsia="Microsoft YaHei"/>
                <w:b/>
                <w:color w:val="232323"/>
                <w:sz w:val="19"/>
              </w:rPr>
              <w:t>怎么扩展到更多券商？</w:t>
            </w:r>
          </w:p>
        </w:tc>
        <w:tc>
          <w:tcPr>
            <w:tcW w:type="dxa" w:w="6192"/>
            <w:vAlign w:val="center"/>
          </w:tcPr>
          <w:p>
            <w:pPr>
              <w:spacing w:after="0" w:line="276" w:lineRule="auto"/>
            </w:pPr>
            <w:r/>
            <w:r>
              <w:rPr>
                <w:rFonts w:ascii="Microsoft YaHei" w:hAnsi="Microsoft YaHei" w:eastAsia="Microsoft YaHei"/>
                <w:b w:val="0"/>
                <w:color w:val="232323"/>
                <w:sz w:val="19"/>
              </w:rPr>
              <w:t>先扩展材料分类和normalizer，再沉淀差异case和测试集，不是一套prompt硬扛。</w:t>
            </w:r>
          </w:p>
        </w:tc>
      </w:tr>
      <w:tr>
        <w:tc>
          <w:tcPr>
            <w:tcW w:type="dxa" w:w="2880"/>
            <w:vAlign w:val="center"/>
          </w:tcPr>
          <w:p>
            <w:pPr>
              <w:spacing w:after="0" w:line="276" w:lineRule="auto"/>
            </w:pPr>
            <w:r/>
            <w:r>
              <w:rPr>
                <w:rFonts w:ascii="Microsoft YaHei" w:hAnsi="Microsoft YaHei" w:eastAsia="Microsoft YaHei"/>
                <w:b/>
                <w:color w:val="232323"/>
                <w:sz w:val="19"/>
              </w:rPr>
              <w:t>准确率怎么评估？</w:t>
            </w:r>
          </w:p>
        </w:tc>
        <w:tc>
          <w:tcPr>
            <w:tcW w:type="dxa" w:w="6192"/>
            <w:vAlign w:val="center"/>
          </w:tcPr>
          <w:p>
            <w:pPr>
              <w:spacing w:after="0" w:line="276" w:lineRule="auto"/>
            </w:pPr>
            <w:r/>
            <w:r>
              <w:rPr>
                <w:rFonts w:ascii="Microsoft YaHei" w:hAnsi="Microsoft YaHei" w:eastAsia="Microsoft YaHei"/>
                <w:b w:val="0"/>
                <w:color w:val="232323"/>
                <w:sz w:val="19"/>
              </w:rPr>
              <w:t>按字段、事件、最终表误入率、待复核命中率分层评估，而不是只看模型整体回答。</w:t>
            </w:r>
          </w:p>
        </w:tc>
      </w:tr>
      <w:tr>
        <w:tc>
          <w:tcPr>
            <w:tcW w:type="dxa" w:w="2880"/>
            <w:vAlign w:val="center"/>
          </w:tcPr>
          <w:p>
            <w:pPr>
              <w:spacing w:after="0" w:line="276" w:lineRule="auto"/>
            </w:pPr>
            <w:r/>
            <w:r>
              <w:rPr>
                <w:rFonts w:ascii="Microsoft YaHei" w:hAnsi="Microsoft YaHei" w:eastAsia="Microsoft YaHei"/>
                <w:b/>
                <w:color w:val="232323"/>
                <w:sz w:val="19"/>
              </w:rPr>
              <w:t>当前最大风险？</w:t>
            </w:r>
          </w:p>
        </w:tc>
        <w:tc>
          <w:tcPr>
            <w:tcW w:type="dxa" w:w="6192"/>
            <w:vAlign w:val="center"/>
          </w:tcPr>
          <w:p>
            <w:pPr>
              <w:spacing w:after="0" w:line="276" w:lineRule="auto"/>
            </w:pPr>
            <w:r/>
            <w:r>
              <w:rPr>
                <w:rFonts w:ascii="Microsoft YaHei" w:hAnsi="Microsoft YaHei" w:eastAsia="Microsoft YaHei"/>
                <w:b w:val="0"/>
                <w:color w:val="232323"/>
                <w:sz w:val="19"/>
              </w:rPr>
              <w:t>材料质量、账户映射、OCR遮挡、资金流水弱证据；这些都应进入异常池或测试集。</w:t>
            </w:r>
          </w:p>
        </w:tc>
      </w:tr>
    </w:tbl>
    <w:p>
      <w:pPr>
        <w:spacing w:before="240" w:after="120"/>
      </w:pPr>
      <w:r>
        <w:rPr>
          <w:rFonts w:ascii="Microsoft YaHei" w:hAnsi="Microsoft YaHei" w:eastAsia="Microsoft YaHei"/>
          <w:b/>
          <w:color w:val="1F4D78"/>
          <w:sz w:val="32"/>
        </w:rPr>
        <w:t>六、外部方法论参考</w:t>
      </w:r>
    </w:p>
    <w:p>
      <w:pPr>
        <w:spacing w:after="120" w:before="0" w:line="283" w:lineRule="auto"/>
      </w:pPr>
      <w:r>
        <w:rPr>
          <w:rFonts w:ascii="Microsoft YaHei" w:hAnsi="Microsoft YaHei" w:eastAsia="Microsoft YaHei"/>
          <w:b w:val="0"/>
          <w:color w:val="606060"/>
          <w:sz w:val="22"/>
        </w:rPr>
        <w:t>这些来源只作为方法论参考，PPT中不要大段引用，最多在附录或口头说明中提及。</w:t>
      </w:r>
    </w:p>
    <w:p>
      <w:pPr>
        <w:spacing w:after="60"/>
      </w:pPr>
      <w:r>
        <w:rPr>
          <w:rFonts w:ascii="Microsoft YaHei" w:hAnsi="Microsoft YaHei" w:eastAsia="Microsoft YaHei"/>
          <w:color w:val="232323"/>
          <w:sz w:val="21"/>
        </w:rPr>
        <w:t xml:space="preserve">• </w:t>
      </w:r>
      <w:hyperlink r:id="rId11">
        <w:r>
          <w:rPr>
            <w:color w:val="0563C1"/>
            <w:u w:val="single"/>
          </w:rPr>
          <w:t>OpenAI - A practical guide to building agents</w:t>
        </w:r>
      </w:hyperlink>
    </w:p>
    <w:p>
      <w:pPr>
        <w:spacing w:after="60"/>
      </w:pPr>
      <w:r>
        <w:rPr>
          <w:rFonts w:ascii="Microsoft YaHei" w:hAnsi="Microsoft YaHei" w:eastAsia="Microsoft YaHei"/>
          <w:color w:val="232323"/>
          <w:sz w:val="21"/>
        </w:rPr>
        <w:t xml:space="preserve">• </w:t>
      </w:r>
      <w:hyperlink r:id="rId12">
        <w:r>
          <w:rPr>
            <w:color w:val="0563C1"/>
            <w:u w:val="single"/>
          </w:rPr>
          <w:t>OpenAI - Harness engineering</w:t>
        </w:r>
      </w:hyperlink>
    </w:p>
    <w:p>
      <w:pPr>
        <w:spacing w:after="60"/>
      </w:pPr>
      <w:r>
        <w:rPr>
          <w:rFonts w:ascii="Microsoft YaHei" w:hAnsi="Microsoft YaHei" w:eastAsia="Microsoft YaHei"/>
          <w:color w:val="232323"/>
          <w:sz w:val="21"/>
        </w:rPr>
        <w:t xml:space="preserve">• </w:t>
      </w:r>
      <w:hyperlink r:id="rId13">
        <w:r>
          <w:rPr>
            <w:color w:val="0563C1"/>
            <w:u w:val="single"/>
          </w:rPr>
          <w:t>Anthropic - Effective context engineering for AI agents</w:t>
        </w:r>
      </w:hyperlink>
    </w:p>
    <w:p>
      <w:pPr>
        <w:spacing w:after="60"/>
      </w:pPr>
      <w:r>
        <w:rPr>
          <w:rFonts w:ascii="Microsoft YaHei" w:hAnsi="Microsoft YaHei" w:eastAsia="Microsoft YaHei"/>
          <w:color w:val="232323"/>
          <w:sz w:val="21"/>
        </w:rPr>
        <w:t xml:space="preserve">• </w:t>
      </w:r>
      <w:hyperlink r:id="rId14">
        <w:r>
          <w:rPr>
            <w:color w:val="0563C1"/>
            <w:u w:val="single"/>
          </w:rPr>
          <w:t>Anthropic - Building effective agents</w:t>
        </w:r>
      </w:hyperlink>
    </w:p>
    <w:p>
      <w:pPr>
        <w:spacing w:after="60"/>
      </w:pPr>
      <w:r>
        <w:rPr>
          <w:rFonts w:ascii="Microsoft YaHei" w:hAnsi="Microsoft YaHei" w:eastAsia="Microsoft YaHei"/>
          <w:color w:val="232323"/>
          <w:sz w:val="21"/>
        </w:rPr>
        <w:t xml:space="preserve">• </w:t>
      </w:r>
      <w:hyperlink r:id="rId15">
        <w:r>
          <w:rPr>
            <w:color w:val="0563C1"/>
            <w:u w:val="single"/>
          </w:rPr>
          <w:t>Anthropic - Agent Skills</w:t>
        </w:r>
      </w:hyperlink>
    </w:p>
    <w:sectPr w:rsidR="00FC693F" w:rsidRPr="0006063C" w:rsidSect="00034616">
      <w:headerReference w:type="default" r:id="rId9"/>
      <w:footerReference w:type="default" r:id="rId10"/>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06060"/>
        <w:sz w:val="17"/>
      </w:rPr>
      <w:t>基金公司员工证券投资申报复核系统 | 母稿用于拆页与讲述，不等同最终PPT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Microsoft YaHei" w:hAnsi="Microsoft YaHei" w:eastAsia="Microsoft YaHei"/>
        <w:color w:val="606060"/>
        <w:sz w:val="18"/>
      </w:rPr>
      <w:t>AI应用岗位答辩 | PPT内容母稿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ai.com/business/guides-and-resources/a-practical-guide-to-building-ai-agents/" TargetMode="External"/><Relationship Id="rId12" Type="http://schemas.openxmlformats.org/officeDocument/2006/relationships/hyperlink" Target="https://openai.com/index/harness-engineering/" TargetMode="External"/><Relationship Id="rId13" Type="http://schemas.openxmlformats.org/officeDocument/2006/relationships/hyperlink" Target="https://www.anthropic.com/engineering/effective-context-engineering-for-ai-agents" TargetMode="External"/><Relationship Id="rId14" Type="http://schemas.openxmlformats.org/officeDocument/2006/relationships/hyperlink" Target="https://www.anthropic.com/engineering/building-effective-agents" TargetMode="External"/><Relationship Id="rId15" Type="http://schemas.openxmlformats.org/officeDocument/2006/relationships/hyperlink" Target="https://www.anthropic.com/engineering/equipping-agents-for-the-real-world-with-agent-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