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PingFang SC"/>
          <w:b/>
          <w:i w:val="0"/>
          <w:color w:val="636C76"/>
          <w:sz w:val="22"/>
        </w:rPr>
        <w:t>项目汇报文档</w:t>
      </w:r>
    </w:p>
    <w:p>
      <w:pPr>
        <w:spacing w:after="80"/>
      </w:pPr>
      <w:r>
        <w:rPr>
          <w:rFonts w:ascii="Calibri" w:hAnsi="Calibri" w:eastAsia="PingFang SC"/>
          <w:b/>
          <w:i w:val="0"/>
          <w:color w:val="242A32"/>
          <w:sz w:val="48"/>
        </w:rPr>
        <w:t>基金公司员工证券投资申报复核系统</w:t>
      </w:r>
    </w:p>
    <w:p>
      <w:r>
        <w:rPr>
          <w:rFonts w:ascii="Calibri" w:hAnsi="Calibri" w:eastAsia="PingFang SC"/>
          <w:b w:val="0"/>
          <w:i w:val="0"/>
          <w:color w:val="636C76"/>
          <w:sz w:val="26"/>
        </w:rPr>
        <w:t>从监管要求、业务材料理解到 AI 辅助抽取与人工复核闭环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900"/>
        <w:gridCol w:w="7460"/>
      </w:tblGrid>
      <w:tr>
        <w:trPr>
          <w:tblHeader/>
          <w:cantSplit/>
        </w:trPr>
        <w:tc>
          <w:tcPr>
            <w:tcW w:type="dxa" w:w="190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汇报对象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项目答辩 / 实习成果汇报 / 后续 PPT 制作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项目范围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本地 Web 系统：材料上传、PDF/OCR 解析、LLM 抽取、规则归一化、人工复核、Excel 导出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材料依据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项目源码、提示词、测试用例、端到端验收记录、监管规则检索</w:t>
            </w:r>
          </w:p>
        </w:tc>
      </w:tr>
      <w:tr>
        <w:trPr>
          <w:cantSplit/>
        </w:trPr>
        <w:tc>
          <w:tcPr>
            <w:tcW w:type="dxa" w:w="19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当前日期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2026-06-21</w:t>
            </w:r>
          </w:p>
        </w:tc>
      </w:tr>
    </w:tbl>
    <w:p>
      <w:pPr>
        <w:spacing w:after="80"/>
      </w:pP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c>
          <w:tcPr>
            <w:tcW w:type="dxa" w:w="9360"/>
            <w:tcMar>
              <w:top w:w="140" w:type="dxa"/>
              <w:bottom w:w="140" w:type="dxa"/>
              <w:start w:w="180" w:type="dxa"/>
              <w:end w:w="180" w:type="dxa"/>
            </w:tcMar>
            <w:vAlign w:val="center"/>
            <w:shd w:fill="F4F6F9"/>
          </w:tcPr>
          <w:p>
            <w:pPr>
              <w:spacing w:after="80"/>
            </w:pPr>
            <w:r/>
            <w:r>
              <w:rPr>
                <w:rFonts w:ascii="Calibri" w:hAnsi="Calibri" w:eastAsia="PingFang SC"/>
                <w:b/>
                <w:color w:val="1F4D78"/>
                <w:sz w:val="22"/>
              </w:rPr>
              <w:t>一句话主线</w:t>
            </w:r>
          </w:p>
          <w:p>
            <w:pPr>
              <w:spacing w:after="0"/>
            </w:pPr>
            <w:r>
              <w:rPr>
                <w:rFonts w:ascii="Calibri" w:hAnsi="Calibri" w:eastAsia="PingFang SC"/>
                <w:color w:val="242A32"/>
                <w:sz w:val="21"/>
              </w:rPr>
              <w:t>这个项目不是把材料丢给 AI 等答案，而是把证券投资申报的监管要求、业务材料语义和工程兜底规则组织成一条可复核、可追溯、可导出的工作流。</w:t>
            </w:r>
          </w:p>
        </w:tc>
      </w:tr>
    </w:tbl>
    <w:p>
      <w:pPr>
        <w:pStyle w:val="Heading1"/>
      </w:pPr>
      <w:r>
        <w:rPr>
          <w:rFonts w:ascii="Calibri" w:hAnsi="Calibri" w:eastAsia="PingFang SC"/>
          <w:b/>
          <w:color w:val="2E74B5"/>
        </w:rPr>
        <w:t>一、自我介绍与课题介绍</w:t>
      </w:r>
    </w:p>
    <w:p>
      <w:pPr>
        <w:pStyle w:val="Heading2"/>
      </w:pPr>
      <w:r>
        <w:rPr>
          <w:rFonts w:ascii="Calibri" w:hAnsi="Calibri" w:eastAsia="PingFang SC"/>
          <w:b/>
          <w:color w:val="2E74B5"/>
        </w:rPr>
        <w:t>1. 自我介绍建议</w:t>
      </w:r>
    </w:p>
    <w:p>
      <w:r>
        <w:rPr>
          <w:rFonts w:ascii="Calibri" w:hAnsi="Calibri" w:eastAsia="PingFang SC"/>
          <w:b w:val="0"/>
          <w:i w:val="0"/>
          <w:color w:val="242A32"/>
        </w:rPr>
        <w:t>PPT 中建议用三句话完成自我介绍：第一，说明自己的法律/合规或业务学习背景；第二，说明在项目中承担了监管梳理、业务材料理解、AI 抽取链路设计和系统验证工作；第三，强调本次汇报的重点不是展示一个普通上传工具，而是展示如何把 AI 放进金融合规场景的可控流程里。</w:t>
      </w:r>
    </w:p>
    <w:p>
      <w:pPr>
        <w:pStyle w:val="Heading2"/>
      </w:pPr>
      <w:r>
        <w:rPr>
          <w:rFonts w:ascii="Calibri" w:hAnsi="Calibri" w:eastAsia="PingFang SC"/>
          <w:b/>
          <w:color w:val="2E74B5"/>
        </w:rPr>
        <w:t>2. 课题定位</w:t>
      </w:r>
    </w:p>
    <w:p>
      <w:r>
        <w:rPr>
          <w:rFonts w:ascii="Calibri" w:hAnsi="Calibri" w:eastAsia="PingFang SC"/>
          <w:b w:val="0"/>
          <w:i w:val="0"/>
          <w:color w:val="242A32"/>
        </w:rPr>
        <w:t>课题可以命名为“基金公司员工证券投资申报复核系统”。它服务于基金公司对员工本人、配偶及利害关系人证券投资行为的申报、登记、审查和复核需求。项目的目标是将分散的身份证明、证券账户证明、中证登查询结果、券商对账单、持仓截图和交易流水，转化为可编辑、可复核、可导出的申报结果。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业务痛点：材料来源多、格式杂，PDF 与图片并存，人工逐页核对耗时且容易漏字段。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合规痛点：不能只看交易表，还要识别无账户、无交易、无持仓等负向证明，并保留证据来源。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AI 痛点：金融合规场景不允许模型凭空补字段，因此需要规则、证据、复核门禁作为外部约束。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工程目标：形成“材料上传 -&gt; 系统分析 -&gt; 人工复核 -&gt; Excel 导出”的闭环。</w:t>
      </w:r>
    </w:p>
    <w:p>
      <w:pPr>
        <w:pStyle w:val="Heading1"/>
      </w:pPr>
      <w:r>
        <w:rPr>
          <w:rFonts w:ascii="Calibri" w:hAnsi="Calibri" w:eastAsia="PingFang SC"/>
          <w:b/>
          <w:color w:val="2E74B5"/>
        </w:rPr>
        <w:t>二、理论研究与储备</w:t>
      </w:r>
    </w:p>
    <w:p>
      <w:pPr>
        <w:pStyle w:val="Heading2"/>
      </w:pPr>
      <w:r>
        <w:rPr>
          <w:rFonts w:ascii="Calibri" w:hAnsi="Calibri" w:eastAsia="PingFang SC"/>
          <w:b/>
          <w:color w:val="2E74B5"/>
        </w:rPr>
        <w:t>1. 法律研究：监管要求如何落到系统字段</w:t>
      </w:r>
    </w:p>
    <w:p>
      <w:r>
        <w:rPr>
          <w:rFonts w:ascii="Calibri" w:hAnsi="Calibri" w:eastAsia="PingFang SC"/>
          <w:b w:val="0"/>
          <w:i w:val="0"/>
          <w:color w:val="242A32"/>
        </w:rPr>
        <w:t>监管研究的核心不是背诵法条，而是把法条转化为系统必须回答的问题：谁需要申报、申报哪些账户和交易、如何审查、何时必须人工确认、如何留痕。</w:t>
      </w:r>
    </w:p>
    <w:p>
      <w:pPr>
        <w:spacing w:before="80" w:after="80"/>
      </w:pPr>
      <w:r>
        <w:rPr>
          <w:rFonts w:ascii="Calibri" w:hAnsi="Calibri" w:eastAsia="PingFang SC"/>
          <w:b w:val="0"/>
          <w:i/>
          <w:color w:val="636C76"/>
          <w:sz w:val="19"/>
        </w:rPr>
        <w:t>法规要求到系统设计的映射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800"/>
        <w:gridCol w:w="3820"/>
        <w:gridCol w:w="3740"/>
      </w:tblGrid>
      <w:tr>
        <w:trPr>
          <w:tblHeader/>
          <w:cantSplit/>
        </w:trPr>
        <w:tc>
          <w:tcPr>
            <w:tcW w:type="dxa" w:w="180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依据</w:t>
            </w:r>
          </w:p>
        </w:tc>
        <w:tc>
          <w:tcPr>
            <w:tcW w:type="dxa" w:w="38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关键要求</w:t>
            </w:r>
          </w:p>
        </w:tc>
        <w:tc>
          <w:tcPr>
            <w:tcW w:type="dxa" w:w="374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系统落点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《证券投资基金法》第十七条</w:t>
            </w:r>
          </w:p>
        </w:tc>
        <w:tc>
          <w:tcPr>
            <w:tcW w:type="dxa" w:w="38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公开募集基金管理人的董事、监事、高级管理人员和其他从业人员，其本人、配偶、利害关系人进行证券投资，应事先申报；管理人应建立申报、登记、审查、处置等制度。</w:t>
            </w:r>
          </w:p>
        </w:tc>
        <w:tc>
          <w:tcPr>
            <w:tcW w:type="dxa" w:w="37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系统创建申报对象，采集身份信息、账户交易材料，并将交易/持仓/负向证明整理为复核表。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《基金从业人员证券投资管理指引（试行）》</w:t>
            </w:r>
          </w:p>
        </w:tc>
        <w:tc>
          <w:tcPr>
            <w:tcW w:type="dxa" w:w="38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制度应覆盖申报、登记、审查、处置全环节；从业人员应如实报告本人、配偶、利害关系人的身份、证券账户和交易账户信息，账户变更应及时申报。</w:t>
            </w:r>
          </w:p>
        </w:tc>
        <w:tc>
          <w:tcPr>
            <w:tcW w:type="dxa" w:w="37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系统把证券账号、账户类型、日期、交易/持仓、材料来源列为关键字段；缺失时进入待复核问题。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《公开募集证券投资基金管理人监督管理办法》</w:t>
            </w:r>
          </w:p>
        </w:tc>
        <w:tc>
          <w:tcPr>
            <w:tcW w:type="dxa" w:w="38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强调公募基金管理人的内部控制和业务规范，保护基金份额持有人及相关当事人合法权益。</w:t>
            </w:r>
          </w:p>
        </w:tc>
        <w:tc>
          <w:tcPr>
            <w:tcW w:type="dxa" w:w="37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系统不允许直接导出 AI 结果，必须先保存人工复核结果，再启用 Excel 导出。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《基金管理公司投资管理人员管理指导意见》</w:t>
            </w:r>
          </w:p>
        </w:tc>
        <w:tc>
          <w:tcPr>
            <w:tcW w:type="dxa" w:w="38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投资管理人员应维护基金份额持有人利益，不得进行利益输送或损害持有人利益的活动。</w:t>
            </w:r>
          </w:p>
        </w:tc>
        <w:tc>
          <w:tcPr>
            <w:tcW w:type="dxa" w:w="37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系统将股息、利息、资金流水等非持仓影响事件与普通买卖分开，避免把无关资金流水错误纳入最终申报。</w:t>
            </w:r>
          </w:p>
        </w:tc>
      </w:tr>
    </w:tbl>
    <w:p>
      <w:pPr>
        <w:spacing w:after="80"/>
      </w:pPr>
    </w:p>
    <w:p>
      <w:r>
        <w:rPr>
          <w:rFonts w:ascii="Calibri" w:hAnsi="Calibri" w:eastAsia="PingFang SC"/>
          <w:b w:val="0"/>
          <w:i w:val="0"/>
          <w:color w:val="242A32"/>
        </w:rPr>
        <w:t>因此，本项目的审查点可以归纳为六类：申报主体、身份材料、证券账户、持仓记录、交易/变动记录、材料质量与证据来源。系统里的“最终申报表”“完整表”“待复核问题”“持仓”“身份信息”“checklist结果”六张表，正是对这些审查点的结构化承接。</w:t>
      </w:r>
    </w:p>
    <w:p>
      <w:pPr>
        <w:pStyle w:val="Heading2"/>
      </w:pPr>
      <w:r>
        <w:rPr>
          <w:rFonts w:ascii="Calibri" w:hAnsi="Calibri" w:eastAsia="PingFang SC"/>
          <w:b/>
          <w:color w:val="2E74B5"/>
        </w:rPr>
        <w:t>2. 金融业务研究：中证登与券商材料不是同一套语义</w:t>
      </w:r>
    </w:p>
    <w:p>
      <w:r>
        <w:rPr>
          <w:rFonts w:ascii="Calibri" w:hAnsi="Calibri" w:eastAsia="PingFang SC"/>
          <w:b w:val="0"/>
          <w:i w:val="0"/>
          <w:color w:val="242A32"/>
        </w:rPr>
        <w:t>中证登材料和券商材料看起来都在描述证券交易，但业务口径不同。中证登更接近登记结算视角，强调证券账户、持有余额和持有变更；券商对账单更接近业务流水视角，混合了场内交割、资金流水、持仓快照、股息分红等记录。</w:t>
      </w:r>
    </w:p>
    <w:p>
      <w:pPr>
        <w:spacing w:before="80" w:after="80"/>
      </w:pPr>
      <w:r>
        <w:rPr>
          <w:rFonts w:ascii="Calibri" w:hAnsi="Calibri" w:eastAsia="PingFang SC"/>
          <w:b w:val="0"/>
          <w:i/>
          <w:color w:val="636C76"/>
          <w:sz w:val="19"/>
        </w:rPr>
        <w:t>不同材料来源的业务口径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800"/>
        <w:gridCol w:w="3820"/>
        <w:gridCol w:w="3740"/>
      </w:tblGrid>
      <w:tr>
        <w:trPr>
          <w:tblHeader/>
          <w:cantSplit/>
        </w:trPr>
        <w:tc>
          <w:tcPr>
            <w:tcW w:type="dxa" w:w="180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材料来源</w:t>
            </w:r>
          </w:p>
        </w:tc>
        <w:tc>
          <w:tcPr>
            <w:tcW w:type="dxa" w:w="38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业务理解</w:t>
            </w:r>
          </w:p>
        </w:tc>
        <w:tc>
          <w:tcPr>
            <w:tcW w:type="dxa" w:w="374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系统处理重点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中国结算 / 中证登材料</w:t>
            </w:r>
          </w:p>
        </w:tc>
        <w:tc>
          <w:tcPr>
            <w:tcW w:type="dxa" w:w="38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识别证券持有变更、证券持有信息、无账户信息、无交易记录、无持仓记录。普通交易按行保留；红利、兑息、送股等作为非普通交易事件识别。</w:t>
            </w:r>
          </w:p>
        </w:tc>
        <w:tc>
          <w:tcPr>
            <w:tcW w:type="dxa" w:w="37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中证登 prompt 使用 trade_group + other_events，避免长表 JSON 膨胀；标准化后进入完整表、最终申报表或负向证明。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广发证券对账单</w:t>
            </w:r>
          </w:p>
        </w:tc>
        <w:tc>
          <w:tcPr>
            <w:tcW w:type="dxa" w:w="38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从场内交割流水识别买入、卖出、打新、股份登记、送股/转增；从持仓明细识别持仓；资金流水仅作辅助线索，不能单独作为最终申报强依据。</w:t>
            </w:r>
          </w:p>
        </w:tc>
        <w:tc>
          <w:tcPr>
            <w:tcW w:type="dxa" w:w="37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广发 prompt 输出 business_events / holding_records / negative_proofs；规则层再判断哪些进入最终申报表，哪些只保留在完整表。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图片或扫描 PDF</w:t>
            </w:r>
          </w:p>
        </w:tc>
        <w:tc>
          <w:tcPr>
            <w:tcW w:type="dxa" w:w="38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业务内容需要先经过 OCR，且存在遮挡、涂抹、低置信度等材料质量风险。</w:t>
            </w:r>
          </w:p>
        </w:tc>
        <w:tc>
          <w:tcPr>
            <w:tcW w:type="dxa" w:w="37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OCR 质量检查识别疑似遮挡或涂抹，文件级问题进入待复核清单，而不是默默继续自动导出。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PingFang SC"/>
          <w:b/>
          <w:color w:val="2E74B5"/>
        </w:rPr>
        <w:t>三、开展工作过程</w:t>
      </w:r>
    </w:p>
    <w:p>
      <w:pPr>
        <w:pStyle w:val="Heading2"/>
      </w:pPr>
      <w:r>
        <w:rPr>
          <w:rFonts w:ascii="Calibri" w:hAnsi="Calibri" w:eastAsia="PingFang SC"/>
          <w:b/>
          <w:color w:val="2E74B5"/>
        </w:rPr>
        <w:t>1. 开发准备：先理解业务，再选择技术</w:t>
      </w:r>
    </w:p>
    <w:p>
      <w:r>
        <w:rPr>
          <w:rFonts w:ascii="Calibri" w:hAnsi="Calibri" w:eastAsia="PingFang SC"/>
          <w:b w:val="0"/>
          <w:i w:val="0"/>
          <w:color w:val="242A32"/>
        </w:rPr>
        <w:t>项目采用本地 Web 架构：后端 FastAPI，前端原生 HTML/CSS/JavaScript，数据以本地 JSON 和文件目录存储。PDF 文本使用 PyMuPDF，表格使用 pdfplumber，扫描件和图片调用 PaddleOCR 服务，LLM 使用 OpenAI-compatible 接口调用 DeepSeek。这个选型的好处是部署轻、调试快，适合在实习项目周期内快速把业务闭环跑通。</w:t>
      </w:r>
    </w:p>
    <w:p>
      <w:pPr>
        <w:spacing w:before="80" w:after="80"/>
      </w:pPr>
      <w:r>
        <w:rPr>
          <w:rFonts w:ascii="Calibri" w:hAnsi="Calibri" w:eastAsia="PingFang SC"/>
          <w:b w:val="0"/>
          <w:i/>
          <w:color w:val="636C76"/>
          <w:sz w:val="19"/>
        </w:rPr>
        <w:t>项目核心模块分工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450"/>
        <w:gridCol w:w="3300"/>
        <w:gridCol w:w="4610"/>
      </w:tblGrid>
      <w:tr>
        <w:trPr>
          <w:tblHeader/>
          <w:cantSplit/>
        </w:trPr>
        <w:tc>
          <w:tcPr>
            <w:tcW w:type="dxa" w:w="145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层级</w:t>
            </w:r>
          </w:p>
        </w:tc>
        <w:tc>
          <w:tcPr>
            <w:tcW w:type="dxa" w:w="330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关键文件/模块</w:t>
            </w:r>
          </w:p>
        </w:tc>
        <w:tc>
          <w:tcPr>
            <w:tcW w:type="dxa" w:w="461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Web 入口</w:t>
            </w:r>
          </w:p>
        </w:tc>
        <w:tc>
          <w:tcPr>
            <w:tcW w:type="dxa" w:w="33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app/main.py, routes_cases.py, routes_files.py, routes_final.py</w:t>
            </w:r>
          </w:p>
        </w:tc>
        <w:tc>
          <w:tcPr>
            <w:tcW w:type="dxa" w:w="461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创建任务、上传材料、批量分析、生成复核、保存复核、导出 Excel。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材料处理</w:t>
            </w:r>
          </w:p>
        </w:tc>
        <w:tc>
          <w:tcPr>
            <w:tcW w:type="dxa" w:w="33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file_router.py, document_processor.py, ocr_quality_checker.py</w:t>
            </w:r>
          </w:p>
        </w:tc>
        <w:tc>
          <w:tcPr>
            <w:tcW w:type="dxa" w:w="461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判断 direct_pdf/scanned_pdf/image，提取文本表格，必要时 OCR，并识别材料质量问题。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AI 抽取</w:t>
            </w:r>
          </w:p>
        </w:tc>
        <w:tc>
          <w:tcPr>
            <w:tcW w:type="dxa" w:w="33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chinaclear_extractor.py, guangfa_extractor.py, prompts/*.md</w:t>
            </w:r>
          </w:p>
        </w:tc>
        <w:tc>
          <w:tcPr>
            <w:tcW w:type="dxa" w:w="461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把解析文本喂给 LLM，并用 JSON 输出契约约束模型。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规则归一</w:t>
            </w:r>
          </w:p>
        </w:tc>
        <w:tc>
          <w:tcPr>
            <w:tcW w:type="dxa" w:w="33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normalizers/common.py, chinaclear_normalizer.py, guangfa_normalizer.py</w:t>
            </w:r>
          </w:p>
        </w:tc>
        <w:tc>
          <w:tcPr>
            <w:tcW w:type="dxa" w:w="461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把不同来源 schema 统一成完整表、最终申报表、持仓和复核项。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复核导出</w:t>
            </w:r>
          </w:p>
        </w:tc>
        <w:tc>
          <w:tcPr>
            <w:tcW w:type="dxa" w:w="33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case_event_resolver.py, final_result_builder.py, final_review.py, final_excel_exporter.py</w:t>
            </w:r>
          </w:p>
        </w:tc>
        <w:tc>
          <w:tcPr>
            <w:tcW w:type="dxa" w:w="461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合并重复、标记冲突、收集问题、生成复核数据，保存后才允许导出。</w:t>
            </w:r>
          </w:p>
        </w:tc>
      </w:tr>
      <w:tr>
        <w:trPr>
          <w:cantSplit/>
        </w:trPr>
        <w:tc>
          <w:tcPr>
            <w:tcW w:type="dxa" w:w="145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交互界面</w:t>
            </w:r>
          </w:p>
        </w:tc>
        <w:tc>
          <w:tcPr>
            <w:tcW w:type="dxa" w:w="33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static/index.html, static/app.js, static/style.css</w:t>
            </w:r>
          </w:p>
        </w:tc>
        <w:tc>
          <w:tcPr>
            <w:tcW w:type="dxa" w:w="461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四步流程、材料缓存区、分析进度、可编辑复核表、右侧复核辅助、问小易助手。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PingFang SC"/>
          <w:b/>
          <w:color w:val="2E74B5"/>
        </w:rPr>
        <w:t>2. 主流程设计：从材料到 Excel 的可追溯链路</w:t>
      </w:r>
    </w:p>
    <w:p>
      <w:pPr>
        <w:pStyle w:val="ListNumber"/>
      </w:pPr>
      <w:r>
        <w:rPr>
          <w:rFonts w:ascii="Calibri" w:hAnsi="Calibri" w:eastAsia="PingFang SC"/>
          <w:color w:val="242A32"/>
        </w:rPr>
        <w:t>创建任务：写入 case.json、files_index.json、status.json，形成一个本地申报任务。</w:t>
      </w:r>
    </w:p>
    <w:p>
      <w:pPr>
        <w:pStyle w:val="ListNumber"/>
      </w:pPr>
      <w:r>
        <w:rPr>
          <w:rFonts w:ascii="Calibri" w:hAnsi="Calibri" w:eastAsia="PingFang SC"/>
          <w:color w:val="242A32"/>
        </w:rPr>
        <w:t>上传材料：身份材料与账户交易材料分模块进入 raw/processed 目录，保留 file_id、file_no 和原始文件名。</w:t>
      </w:r>
    </w:p>
    <w:p>
      <w:pPr>
        <w:pStyle w:val="ListNumber"/>
      </w:pPr>
      <w:r>
        <w:rPr>
          <w:rFonts w:ascii="Calibri" w:hAnsi="Calibri" w:eastAsia="PingFang SC"/>
          <w:color w:val="242A32"/>
        </w:rPr>
        <w:t>文件分流：根据文件类型和前三页文本密度区分 direct_pdf、scanned_pdf、image、unsupported。</w:t>
      </w:r>
    </w:p>
    <w:p>
      <w:pPr>
        <w:pStyle w:val="ListNumber"/>
      </w:pPr>
      <w:r>
        <w:rPr>
          <w:rFonts w:ascii="Calibri" w:hAnsi="Calibri" w:eastAsia="PingFang SC"/>
          <w:color w:val="242A32"/>
        </w:rPr>
        <w:t>解析与 OCR：direct_pdf 直接抽文本和表格；扫描件/图片调用 OCR，并叠加质量检查。</w:t>
      </w:r>
    </w:p>
    <w:p>
      <w:pPr>
        <w:pStyle w:val="ListNumber"/>
      </w:pPr>
      <w:r>
        <w:rPr>
          <w:rFonts w:ascii="Calibri" w:hAnsi="Calibri" w:eastAsia="PingFang SC"/>
          <w:color w:val="242A32"/>
        </w:rPr>
        <w:t>内容识别：关键词评分判断 identity、guangfa、chinaclear 或 unknown。</w:t>
      </w:r>
    </w:p>
    <w:p>
      <w:pPr>
        <w:pStyle w:val="ListNumber"/>
      </w:pPr>
      <w:r>
        <w:rPr>
          <w:rFonts w:ascii="Calibri" w:hAnsi="Calibri" w:eastAsia="PingFang SC"/>
          <w:color w:val="242A32"/>
        </w:rPr>
        <w:t>LLM 抽取：根据内容类型调用对应 prompt，要求只输出 JSON，不解释、不补造。</w:t>
      </w:r>
    </w:p>
    <w:p>
      <w:pPr>
        <w:pStyle w:val="ListNumber"/>
      </w:pPr>
      <w:r>
        <w:rPr>
          <w:rFonts w:ascii="Calibri" w:hAnsi="Calibri" w:eastAsia="PingFang SC"/>
          <w:color w:val="242A32"/>
        </w:rPr>
        <w:t>标准化：统一成 full_transaction_rows、final_declaration_rows、holding_rows、review_items。</w:t>
      </w:r>
    </w:p>
    <w:p>
      <w:pPr>
        <w:pStyle w:val="ListNumber"/>
      </w:pPr>
      <w:r>
        <w:rPr>
          <w:rFonts w:ascii="Calibri" w:hAnsi="Calibri" w:eastAsia="PingFang SC"/>
          <w:color w:val="242A32"/>
        </w:rPr>
        <w:t>合并与复核：完全重复事件合并来源证据；疑似同一事件但字段冲突时进入待复核问题。</w:t>
      </w:r>
    </w:p>
    <w:p>
      <w:pPr>
        <w:pStyle w:val="ListNumber"/>
      </w:pPr>
      <w:r>
        <w:rPr>
          <w:rFonts w:ascii="Calibri" w:hAnsi="Calibri" w:eastAsia="PingFang SC"/>
          <w:color w:val="242A32"/>
        </w:rPr>
        <w:t>人工复核：前端可编辑最终申报表、完整表、持仓和身份信息；保存后生成 reviewed_final_result.json。</w:t>
      </w:r>
    </w:p>
    <w:p>
      <w:pPr>
        <w:pStyle w:val="ListNumber"/>
      </w:pPr>
      <w:r>
        <w:rPr>
          <w:rFonts w:ascii="Calibri" w:hAnsi="Calibri" w:eastAsia="PingFang SC"/>
          <w:color w:val="242A32"/>
        </w:rPr>
        <w:t>Excel 导出：只有 review_saved=true 且 excel_export_allowed=true 时才允许导出。</w:t>
      </w:r>
    </w:p>
    <w:p>
      <w:pPr>
        <w:pStyle w:val="Heading2"/>
      </w:pPr>
      <w:r>
        <w:rPr>
          <w:rFonts w:ascii="Calibri" w:hAnsi="Calibri" w:eastAsia="PingFang SC"/>
          <w:b/>
          <w:color w:val="2E74B5"/>
        </w:rPr>
        <w:t>3. AI 功能引入的形态：skills / agent / workflow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300"/>
        <w:gridCol w:w="4380"/>
        <w:gridCol w:w="3680"/>
      </w:tblGrid>
      <w:tr>
        <w:trPr>
          <w:tblHeader/>
          <w:cantSplit/>
        </w:trPr>
        <w:tc>
          <w:tcPr>
            <w:tcW w:type="dxa" w:w="130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形态</w:t>
            </w:r>
          </w:p>
        </w:tc>
        <w:tc>
          <w:tcPr>
            <w:tcW w:type="dxa" w:w="438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在项目中的体现</w:t>
            </w:r>
          </w:p>
        </w:tc>
        <w:tc>
          <w:tcPr>
            <w:tcW w:type="dxa" w:w="368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汇报表达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skills</w:t>
            </w:r>
          </w:p>
        </w:tc>
        <w:tc>
          <w:tcPr>
            <w:tcW w:type="dxa" w:w="43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法律、业务、文档等知识被沉淀为可复用技能；项目中的 prompt 也相当于面向模型的业务技能。</w:t>
            </w:r>
          </w:p>
        </w:tc>
        <w:tc>
          <w:tcPr>
            <w:tcW w:type="dxa" w:w="36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不是每次都把背景重新塞给模型，而是把可复用知识沉淀成可调用资产。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agent</w:t>
            </w:r>
          </w:p>
        </w:tc>
        <w:tc>
          <w:tcPr>
            <w:tcW w:type="dxa" w:w="43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AI 负责完成局部认知任务：材料内容理解、事件抽取、文件级问题归纳、问小易流程问答。</w:t>
            </w:r>
          </w:p>
        </w:tc>
        <w:tc>
          <w:tcPr>
            <w:tcW w:type="dxa" w:w="36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Agent 不直接拥有最终决定权，它在被规则和人类复核包围的边界内工作。</w:t>
            </w:r>
          </w:p>
        </w:tc>
      </w:tr>
      <w:tr>
        <w:trPr>
          <w:cantSplit/>
        </w:trPr>
        <w:tc>
          <w:tcPr>
            <w:tcW w:type="dxa" w:w="13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workflow</w:t>
            </w:r>
          </w:p>
        </w:tc>
        <w:tc>
          <w:tcPr>
            <w:tcW w:type="dxa" w:w="43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后端工作流决定何时解析、何时 OCR、何时调用 LLM、何时进入复核、何时允许导出。</w:t>
            </w:r>
          </w:p>
        </w:tc>
        <w:tc>
          <w:tcPr>
            <w:tcW w:type="dxa" w:w="36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真正可交付的是 workflow，而不是一次性的模型回答。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PingFang SC"/>
          <w:b/>
          <w:color w:val="2E74B5"/>
        </w:rPr>
        <w:t>4. AI 策略优化：减少延迟与上下文浪费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先解析、分流、分类，再调用 LLM：只有当材料类型明确、输入文本形成后才进入抽取环节。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中证登长表采用批处理策略：每批 50 行、重叠 5 行、最多 4 个 worker，减少单次上下文过长导致的截断风险。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direct_pdf 不走 OCR，能直接从 PDF 文本和表格中抽取，避免不必要的图像识别成本。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LLM 调用设置 temperature=0、JSON response_format、thinking disabled，把模型定位成结构化抽取器。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文件级问题归纳可调用 LLM，但结果必须经过格式校验；失败时自动回退到规则总结。</w:t>
      </w:r>
    </w:p>
    <w:p>
      <w:pPr>
        <w:pStyle w:val="Heading2"/>
      </w:pPr>
      <w:r>
        <w:rPr>
          <w:rFonts w:ascii="Calibri" w:hAnsi="Calibri" w:eastAsia="PingFang SC"/>
          <w:b/>
          <w:color w:val="2E74B5"/>
        </w:rPr>
        <w:t>5. 克服 AI 幻觉：先抽取，再思考，规则兜底</w:t>
      </w:r>
    </w:p>
    <w:p>
      <w:r>
        <w:rPr>
          <w:rFonts w:ascii="Calibri" w:hAnsi="Calibri" w:eastAsia="PingFang SC"/>
          <w:b w:val="0"/>
          <w:i w:val="0"/>
          <w:color w:val="242A32"/>
        </w:rPr>
        <w:t>项目对 AI 的约束可以概括为三句话：第一，输入要有来源；第二，输出要有 schema；第三，导出要有人确认。这样既利用模型的理解能力，又不把合规判断完全交给黑盒。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800"/>
        <w:gridCol w:w="4040"/>
        <w:gridCol w:w="3520"/>
      </w:tblGrid>
      <w:tr>
        <w:trPr>
          <w:tblHeader/>
          <w:cantSplit/>
        </w:trPr>
        <w:tc>
          <w:tcPr>
            <w:tcW w:type="dxa" w:w="180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风险</w:t>
            </w:r>
          </w:p>
        </w:tc>
        <w:tc>
          <w:tcPr>
            <w:tcW w:type="dxa" w:w="404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项目约束</w:t>
            </w:r>
          </w:p>
        </w:tc>
        <w:tc>
          <w:tcPr>
            <w:tcW w:type="dxa" w:w="35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效果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模型编造缺失字段</w:t>
            </w:r>
          </w:p>
        </w:tc>
        <w:tc>
          <w:tcPr>
            <w:tcW w:type="dxa" w:w="40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prompt 明确要求缺失字段留空，不得计算材料未给出的金额；规则层检查关键字段。</w:t>
            </w:r>
          </w:p>
        </w:tc>
        <w:tc>
          <w:tcPr>
            <w:tcW w:type="dxa" w:w="35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缺失证券账号、账户类型、日期等会进入待复核问题。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资金流水误判为证券交易</w:t>
            </w:r>
          </w:p>
        </w:tc>
        <w:tc>
          <w:tcPr>
            <w:tcW w:type="dxa" w:w="40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广发规则要求普通交易优先来自场内交割流水；资金流水仅作辅助，单独出现时排除最终申报并提示复核。</w:t>
            </w:r>
          </w:p>
        </w:tc>
        <w:tc>
          <w:tcPr>
            <w:tcW w:type="dxa" w:w="35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避免把银行转证券、利息归本、结息等无关流水纳入申报。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同一交易重复或冲突</w:t>
            </w:r>
          </w:p>
        </w:tc>
        <w:tc>
          <w:tcPr>
            <w:tcW w:type="dxa" w:w="40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完全重复记录合并证据；同一事件关键字段冲突时标记 conflict_between_sources。</w:t>
            </w:r>
          </w:p>
        </w:tc>
        <w:tc>
          <w:tcPr>
            <w:tcW w:type="dxa" w:w="35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保留可追溯证据，不由系统武断裁决。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OCR 遮挡/涂抹导致错误</w:t>
            </w:r>
          </w:p>
        </w:tc>
        <w:tc>
          <w:tcPr>
            <w:tcW w:type="dxa" w:w="40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OCR 质量检查根据暗色连通域识别疑似遮挡或涂抹。</w:t>
            </w:r>
          </w:p>
        </w:tc>
        <w:tc>
          <w:tcPr>
            <w:tcW w:type="dxa" w:w="35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材料质量问题进入文件级问题和待复核清单。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用户修改后直接导出旧结果</w:t>
            </w:r>
          </w:p>
        </w:tc>
        <w:tc>
          <w:tcPr>
            <w:tcW w:type="dxa" w:w="40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前端 reviewDirty 控制导出按钮，修改后必须重新保存复核结果。</w:t>
            </w:r>
          </w:p>
        </w:tc>
        <w:tc>
          <w:tcPr>
            <w:tcW w:type="dxa" w:w="35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保证 Excel 来自最新人工确认结果。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PingFang SC"/>
          <w:b/>
          <w:color w:val="2E74B5"/>
        </w:rPr>
        <w:t>6. 前端交互逻辑：简单好用易上手</w:t>
      </w:r>
    </w:p>
    <w:p>
      <w:r>
        <w:rPr>
          <w:rFonts w:ascii="Calibri" w:hAnsi="Calibri" w:eastAsia="PingFang SC"/>
          <w:b w:val="0"/>
          <w:i w:val="0"/>
          <w:color w:val="242A32"/>
        </w:rPr>
        <w:t>前端采用四步式办理轨道：创建任务、填写信息与上传材料、系统分析中、人工复核与导出。用户不需要理解后端的文件目录和 JSON 结构，只需要按办理顺序推进。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材料缓存区让用户先批量上传，再统一开始分析，避免边上传边抽取造成状态混乱。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系统分析页用进度和步骤提示解释后台正在做什么，降低等待时的不确定感。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复核页左侧是可编辑表格，右侧固定展示法律 checklist 和文件级问题，下方统一列出待复核清单。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问小易助手只回答材料准备、复核、checklist、导出等流程问题，不暴露接口路径和本地调试信息。</w:t>
      </w:r>
    </w:p>
    <w:p>
      <w:pPr>
        <w:pStyle w:val="Heading2"/>
      </w:pPr>
      <w:r>
        <w:rPr>
          <w:rFonts w:ascii="Calibri" w:hAnsi="Calibri" w:eastAsia="PingFang SC"/>
          <w:b/>
          <w:color w:val="2E74B5"/>
        </w:rPr>
        <w:t>7. 兜底思维：验证、复杂 case 测试与可拓展性</w:t>
      </w:r>
    </w:p>
    <w:p>
      <w:r>
        <w:rPr>
          <w:rFonts w:ascii="Calibri" w:hAnsi="Calibri" w:eastAsia="PingFang SC"/>
          <w:b w:val="0"/>
          <w:i w:val="0"/>
          <w:color w:val="242A32"/>
        </w:rPr>
        <w:t>项目不是只跑通一个样例，而是把容易出错的边界情况写成测试。当前测试命令 `python -m unittest discover -s tests` 已运行通过 56 个用例。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700"/>
        <w:gridCol w:w="4060"/>
        <w:gridCol w:w="3600"/>
      </w:tblGrid>
      <w:tr>
        <w:trPr>
          <w:tblHeader/>
          <w:cantSplit/>
        </w:trPr>
        <w:tc>
          <w:tcPr>
            <w:tcW w:type="dxa" w:w="170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测试方向</w:t>
            </w:r>
          </w:p>
        </w:tc>
        <w:tc>
          <w:tcPr>
            <w:tcW w:type="dxa" w:w="406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覆盖案例</w:t>
            </w:r>
          </w:p>
        </w:tc>
        <w:tc>
          <w:tcPr>
            <w:tcW w:type="dxa" w:w="360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复杂交易识别</w:t>
            </w:r>
          </w:p>
        </w:tc>
        <w:tc>
          <w:tcPr>
            <w:tcW w:type="dxa" w:w="40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同日同证券不同价格/金额/时间的多笔交易不应误合并。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避免把真实多笔交易当成冲突或重复。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账户字段校验</w:t>
            </w:r>
          </w:p>
        </w:tc>
        <w:tc>
          <w:tcPr>
            <w:tcW w:type="dxa" w:w="40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资金账号以 06 开头不能冒充证券账号；信用账户根据证券账号推断。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防止账户类型和证券账号归属错误。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非申报事件排除</w:t>
            </w:r>
          </w:p>
        </w:tc>
        <w:tc>
          <w:tcPr>
            <w:tcW w:type="dxa" w:w="40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红利入账只进完整表；银行转证券、利息归本等资金流水忽略。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确保最终申报表只保留持仓影响事件。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负向证明</w:t>
            </w:r>
          </w:p>
        </w:tc>
        <w:tc>
          <w:tcPr>
            <w:tcW w:type="dxa" w:w="40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无账户、无交易、无持仓均可成为有效结果，但缺姓名/日期/证据要复核。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把“没有记录”作为合规事实，而不是抽取失败。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质量与复核门禁</w:t>
            </w:r>
          </w:p>
        </w:tc>
        <w:tc>
          <w:tcPr>
            <w:tcW w:type="dxa" w:w="40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OCR 遮挡、LLM 截断、复核页 dirty 状态禁用导出。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把材料风险和用户修改风险显性化。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PingFang SC"/>
          <w:b/>
          <w:color w:val="2E74B5"/>
        </w:rPr>
        <w:t>四、项目演示</w:t>
      </w:r>
    </w:p>
    <w:p>
      <w:pPr>
        <w:pStyle w:val="Heading2"/>
      </w:pPr>
      <w:r>
        <w:rPr>
          <w:rFonts w:ascii="Calibri" w:hAnsi="Calibri" w:eastAsia="PingFang SC"/>
          <w:b/>
          <w:color w:val="2E74B5"/>
        </w:rPr>
        <w:t>1. 正常测试：case_022 广发证券 PDF</w:t>
      </w:r>
    </w:p>
    <w:p>
      <w:r>
        <w:rPr>
          <w:rFonts w:ascii="Calibri" w:hAnsi="Calibri" w:eastAsia="PingFang SC"/>
          <w:b w:val="0"/>
          <w:i w:val="0"/>
          <w:color w:val="242A32"/>
        </w:rPr>
        <w:t>可以把 case_022 作为正常演示样例。该材料是 2 页 direct_pdf，系统识别为广发证券材料，关键词命中广发证券、对账单、资金账号、股东卡号、场内交割流水、证券买入、证券卖出、营业部等，内容分类置信度为 0.7895。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800"/>
        <w:gridCol w:w="2720"/>
        <w:gridCol w:w="4840"/>
      </w:tblGrid>
      <w:tr>
        <w:trPr>
          <w:tblHeader/>
          <w:cantSplit/>
        </w:trPr>
        <w:tc>
          <w:tcPr>
            <w:tcW w:type="dxa" w:w="180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指标</w:t>
            </w:r>
          </w:p>
        </w:tc>
        <w:tc>
          <w:tcPr>
            <w:tcW w:type="dxa" w:w="27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结果</w:t>
            </w:r>
          </w:p>
        </w:tc>
        <w:tc>
          <w:tcPr>
            <w:tcW w:type="dxa" w:w="484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汇报含义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解析方式</w:t>
            </w:r>
          </w:p>
        </w:tc>
        <w:tc>
          <w:tcPr>
            <w:tcW w:type="dxa" w:w="27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direct_pdf，2 页，文本字符数 5529</w:t>
            </w:r>
          </w:p>
        </w:tc>
        <w:tc>
          <w:tcPr>
            <w:tcW w:type="dxa" w:w="48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系统能直接读取文本型 PDF，避免不必要 OCR。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完整表</w:t>
            </w:r>
          </w:p>
        </w:tc>
        <w:tc>
          <w:tcPr>
            <w:tcW w:type="dxa" w:w="27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10 条记录</w:t>
            </w:r>
          </w:p>
        </w:tc>
        <w:tc>
          <w:tcPr>
            <w:tcW w:type="dxa" w:w="48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系统保留全部业务相关记录，便于复核和追溯。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最终申报表</w:t>
            </w:r>
          </w:p>
        </w:tc>
        <w:tc>
          <w:tcPr>
            <w:tcW w:type="dxa" w:w="27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6 条记录</w:t>
            </w:r>
          </w:p>
        </w:tc>
        <w:tc>
          <w:tcPr>
            <w:tcW w:type="dxa" w:w="48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证券买入/卖出进入最终申报。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排除记录</w:t>
            </w:r>
          </w:p>
        </w:tc>
        <w:tc>
          <w:tcPr>
            <w:tcW w:type="dxa" w:w="27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4 条股息入账</w:t>
            </w:r>
          </w:p>
        </w:tc>
        <w:tc>
          <w:tcPr>
            <w:tcW w:type="dxa" w:w="48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分红股息保留在完整表，但不进入最终申报表。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持仓</w:t>
            </w:r>
          </w:p>
        </w:tc>
        <w:tc>
          <w:tcPr>
            <w:tcW w:type="dxa" w:w="27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3 条</w:t>
            </w:r>
          </w:p>
        </w:tc>
        <w:tc>
          <w:tcPr>
            <w:tcW w:type="dxa" w:w="48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系统能同时整理持仓快照。</w:t>
            </w:r>
          </w:p>
        </w:tc>
      </w:tr>
      <w:tr>
        <w:trPr>
          <w:cantSplit/>
        </w:trPr>
        <w:tc>
          <w:tcPr>
            <w:tcW w:type="dxa" w:w="1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导出状态</w:t>
            </w:r>
          </w:p>
        </w:tc>
        <w:tc>
          <w:tcPr>
            <w:tcW w:type="dxa" w:w="27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人工复核已保存，Excel 导出允许</w:t>
            </w:r>
          </w:p>
        </w:tc>
        <w:tc>
          <w:tcPr>
            <w:tcW w:type="dxa" w:w="48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形成从材料到导出文件的闭环。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PingFang SC"/>
          <w:b/>
          <w:color w:val="2E74B5"/>
        </w:rPr>
        <w:t>2. 高难度测试：建议现场展示的边界样例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180"/>
        <w:gridCol w:w="3560"/>
        <w:gridCol w:w="3620"/>
      </w:tblGrid>
      <w:tr>
        <w:trPr>
          <w:tblHeader/>
          <w:cantSplit/>
        </w:trPr>
        <w:tc>
          <w:tcPr>
            <w:tcW w:type="dxa" w:w="218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场景</w:t>
            </w:r>
          </w:p>
        </w:tc>
        <w:tc>
          <w:tcPr>
            <w:tcW w:type="dxa" w:w="356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系统表现</w:t>
            </w:r>
          </w:p>
        </w:tc>
        <w:tc>
          <w:tcPr>
            <w:tcW w:type="dxa" w:w="36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适合强调的能力</w:t>
            </w:r>
          </w:p>
        </w:tc>
      </w:tr>
      <w:tr>
        <w:trPr>
          <w:cantSplit/>
        </w:trPr>
        <w:tc>
          <w:tcPr>
            <w:tcW w:type="dxa" w:w="21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同日同证券多笔买入，价格不同</w:t>
            </w:r>
          </w:p>
        </w:tc>
        <w:tc>
          <w:tcPr>
            <w:tcW w:type="dxa" w:w="35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不合并、不报冲突，保留多笔交易。</w:t>
            </w:r>
          </w:p>
        </w:tc>
        <w:tc>
          <w:tcPr>
            <w:tcW w:type="dxa" w:w="36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理解交易不是只看日期和证券代码。</w:t>
            </w:r>
          </w:p>
        </w:tc>
      </w:tr>
      <w:tr>
        <w:trPr>
          <w:cantSplit/>
        </w:trPr>
        <w:tc>
          <w:tcPr>
            <w:tcW w:type="dxa" w:w="21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普通交易只出现在资金流水明细</w:t>
            </w:r>
          </w:p>
        </w:tc>
        <w:tc>
          <w:tcPr>
            <w:tcW w:type="dxa" w:w="35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进入完整表并提示复核，不进入最终申报表。</w:t>
            </w:r>
          </w:p>
        </w:tc>
        <w:tc>
          <w:tcPr>
            <w:tcW w:type="dxa" w:w="36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资金流水不能替代场内交割流水。</w:t>
            </w:r>
          </w:p>
        </w:tc>
      </w:tr>
      <w:tr>
        <w:trPr>
          <w:cantSplit/>
        </w:trPr>
        <w:tc>
          <w:tcPr>
            <w:tcW w:type="dxa" w:w="21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未开户/无账户信息证明</w:t>
            </w:r>
          </w:p>
        </w:tc>
        <w:tc>
          <w:tcPr>
            <w:tcW w:type="dxa" w:w="35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作为 no_account_info 进入最终结果；姓名、日期、原文证据缺失则复核。</w:t>
            </w:r>
          </w:p>
        </w:tc>
        <w:tc>
          <w:tcPr>
            <w:tcW w:type="dxa" w:w="36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负向证明也是合规结果。</w:t>
            </w:r>
          </w:p>
        </w:tc>
      </w:tr>
      <w:tr>
        <w:trPr>
          <w:cantSplit/>
        </w:trPr>
        <w:tc>
          <w:tcPr>
            <w:tcW w:type="dxa" w:w="21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无持仓 / 无交易查询</w:t>
            </w:r>
          </w:p>
        </w:tc>
        <w:tc>
          <w:tcPr>
            <w:tcW w:type="dxa" w:w="35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输出 no_holding_record 或 no_trade_record，关键字段缺失时复核。</w:t>
            </w:r>
          </w:p>
        </w:tc>
        <w:tc>
          <w:tcPr>
            <w:tcW w:type="dxa" w:w="36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不是所有空结果都是失败。</w:t>
            </w:r>
          </w:p>
        </w:tc>
      </w:tr>
      <w:tr>
        <w:trPr>
          <w:cantSplit/>
        </w:trPr>
        <w:tc>
          <w:tcPr>
            <w:tcW w:type="dxa" w:w="21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OCR 图片有遮挡涂抹</w:t>
            </w:r>
          </w:p>
        </w:tc>
        <w:tc>
          <w:tcPr>
            <w:tcW w:type="dxa" w:w="35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识别 suspected_occlusion，生成 OCR 问题复核项。</w:t>
            </w:r>
          </w:p>
        </w:tc>
        <w:tc>
          <w:tcPr>
            <w:tcW w:type="dxa" w:w="36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材料质量风险显性化。</w:t>
            </w:r>
          </w:p>
        </w:tc>
      </w:tr>
      <w:tr>
        <w:trPr>
          <w:cantSplit/>
        </w:trPr>
        <w:tc>
          <w:tcPr>
            <w:tcW w:type="dxa" w:w="21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复核页修改后未保存</w:t>
            </w:r>
          </w:p>
        </w:tc>
        <w:tc>
          <w:tcPr>
            <w:tcW w:type="dxa" w:w="35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导出按钮禁用，提示先保存复核结果。</w:t>
            </w:r>
          </w:p>
        </w:tc>
        <w:tc>
          <w:tcPr>
            <w:tcW w:type="dxa" w:w="36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人机协同闭环，而非一次性自动导出。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PingFang SC"/>
          <w:b/>
          <w:color w:val="2E74B5"/>
        </w:rPr>
        <w:t>五、Agent 时代的 AI 使用方式</w:t>
      </w:r>
    </w:p>
    <w:p>
      <w:pPr>
        <w:pStyle w:val="Heading2"/>
      </w:pPr>
      <w:r>
        <w:rPr>
          <w:rFonts w:ascii="Calibri" w:hAnsi="Calibri" w:eastAsia="PingFang SC"/>
          <w:b/>
          <w:color w:val="2E74B5"/>
        </w:rPr>
        <w:t>1. From context to memory：从临时上下文到可复用记忆</w:t>
      </w:r>
    </w:p>
    <w:p>
      <w:r>
        <w:rPr>
          <w:rFonts w:ascii="Calibri" w:hAnsi="Calibri" w:eastAsia="PingFang SC"/>
          <w:b w:val="0"/>
          <w:i w:val="0"/>
          <w:color w:val="242A32"/>
        </w:rPr>
        <w:t>传统做法是每次把项目背景、法条、业务规则、代码片段都塞进上下文里；Agent 时代更好的方式是把知识编译成可复用的技能、提示词、测试和规则。工作区中的 book-to-skills 项目体现了这种思路：先把文档抽取成结构化 skill，运行时按需加载，而不是每次重复阅读整本资料。</w:t>
      </w:r>
    </w:p>
    <w:p>
      <w:r>
        <w:rPr>
          <w:rFonts w:ascii="Calibri" w:hAnsi="Calibri" w:eastAsia="PingFang SC"/>
          <w:b w:val="0"/>
          <w:i w:val="0"/>
          <w:color w:val="242A32"/>
        </w:rPr>
        <w:t>本项目也采用了同样的思想：监管要求沉淀为审查点，业务理解沉淀为 prompt，错误经验沉淀为 normalizer 和 unittest。这样 AI 不只是“记住一次对话”，而是通过工程资产获得长期记忆。</w:t>
      </w:r>
    </w:p>
    <w:p>
      <w:pPr>
        <w:pStyle w:val="Heading2"/>
      </w:pPr>
      <w:r>
        <w:rPr>
          <w:rFonts w:ascii="Calibri" w:hAnsi="Calibri" w:eastAsia="PingFang SC"/>
          <w:b/>
          <w:color w:val="2E74B5"/>
        </w:rPr>
        <w:t>2. Harness, not asking：不是问模型，而是驾驭模型</w:t>
      </w:r>
    </w:p>
    <w:p>
      <w:r>
        <w:rPr>
          <w:rFonts w:ascii="Calibri" w:hAnsi="Calibri" w:eastAsia="PingFang SC"/>
          <w:b w:val="0"/>
          <w:i w:val="0"/>
          <w:color w:val="242A32"/>
        </w:rPr>
        <w:t>黑盒模型能力很强，但合规系统不能用“你帮我看看”这种松散问题驱动。项目做法是给模型非常具体的输入、角色、输出 schema、禁止事项和证据要求，再用代码对输出进行审查。模型负责理解复杂材料，系统负责限定边界和承担流程责任。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不要让模型自由总结，要让模型填结构化 JSON。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不要让模型做最终合规判断，要把判断结果交给规则和人工复核。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不要让模型凭感觉补全，要要求缺失留空并说明复核原因。</w:t>
      </w:r>
    </w:p>
    <w:p>
      <w:pPr>
        <w:pStyle w:val="Heading2"/>
      </w:pPr>
      <w:r>
        <w:rPr>
          <w:rFonts w:ascii="Calibri" w:hAnsi="Calibri" w:eastAsia="PingFang SC"/>
          <w:b/>
          <w:color w:val="2E74B5"/>
        </w:rPr>
        <w:t>3. Thin agent, fat skills：轻代理，厚技能</w:t>
      </w:r>
    </w:p>
    <w:p>
      <w:r>
        <w:rPr>
          <w:rFonts w:ascii="Calibri" w:hAnsi="Calibri" w:eastAsia="PingFang SC"/>
          <w:b w:val="0"/>
          <w:i w:val="0"/>
          <w:color w:val="242A32"/>
        </w:rPr>
        <w:t>“thin agent, fat skills”的意思是：Agent 本身尽量保持轻量，真正的业务深度放在技能、prompt、规则、测试和数据结构里。这样的好处是可复用、可解释、可维护。换一个模型，prompt 和规则仍然在；换一个材料来源，也可以新增一个 extractor/normalizer，而不是推翻整个系统。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600"/>
        <w:gridCol w:w="4040"/>
        <w:gridCol w:w="3720"/>
      </w:tblGrid>
      <w:tr>
        <w:trPr>
          <w:tblHeader/>
          <w:cantSplit/>
        </w:trPr>
        <w:tc>
          <w:tcPr>
            <w:tcW w:type="dxa" w:w="160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层次</w:t>
            </w:r>
          </w:p>
        </w:tc>
        <w:tc>
          <w:tcPr>
            <w:tcW w:type="dxa" w:w="404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在项目中的对应物</w:t>
            </w:r>
          </w:p>
        </w:tc>
        <w:tc>
          <w:tcPr>
            <w:tcW w:type="dxa" w:w="372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为什么重要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Thin agent</w:t>
            </w:r>
          </w:p>
        </w:tc>
        <w:tc>
          <w:tcPr>
            <w:tcW w:type="dxa" w:w="40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LLMClient、问小易、文件级问题归纳</w:t>
            </w:r>
          </w:p>
        </w:tc>
        <w:tc>
          <w:tcPr>
            <w:tcW w:type="dxa" w:w="37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负责局部理解和表达，不承担不可控的最终决策。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Fat skills</w:t>
            </w:r>
          </w:p>
        </w:tc>
        <w:tc>
          <w:tcPr>
            <w:tcW w:type="dxa" w:w="40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chinaclear/guangfa prompt、normalizer、case_event_resolver、tests</w:t>
            </w:r>
          </w:p>
        </w:tc>
        <w:tc>
          <w:tcPr>
            <w:tcW w:type="dxa" w:w="37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沉淀专业知识、业务规则、错误边界和复核流程。</w:t>
            </w:r>
          </w:p>
        </w:tc>
      </w:tr>
      <w:tr>
        <w:trPr>
          <w:cantSplit/>
        </w:trPr>
        <w:tc>
          <w:tcPr>
            <w:tcW w:type="dxa" w:w="16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Workflow</w:t>
            </w:r>
          </w:p>
        </w:tc>
        <w:tc>
          <w:tcPr>
            <w:tcW w:type="dxa" w:w="404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FastAPI 路由串联的上传、分析、复核、导出</w:t>
            </w:r>
          </w:p>
        </w:tc>
        <w:tc>
          <w:tcPr>
            <w:tcW w:type="dxa" w:w="372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把模型能力放进可观察、可重跑、可保存的流程里。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PingFang SC"/>
          <w:b/>
          <w:color w:val="2E74B5"/>
        </w:rPr>
        <w:t>4. Evolution：自进化与自回归</w:t>
      </w:r>
    </w:p>
    <w:p>
      <w:r>
        <w:rPr>
          <w:rFonts w:ascii="Calibri" w:hAnsi="Calibri" w:eastAsia="PingFang SC"/>
          <w:b w:val="0"/>
          <w:i w:val="0"/>
          <w:color w:val="242A32"/>
        </w:rPr>
        <w:t>项目迭代可以概括为“发现问题 -&gt; 写入规则或 prompt -&gt; 补测试 -&gt; 回归验证”。例如，发现资金账号不能当证券账号，就补充广发 prompt 的账号规则和 normalizer 测试；发现无账户信息不能当作无持仓，就补充负向证明识别；发现 OCR 遮挡会影响材料可信度，就新增质量检查和文件级问题归纳。</w:t>
      </w:r>
    </w:p>
    <w:p>
      <w:r>
        <w:rPr>
          <w:rFonts w:ascii="Calibri" w:hAnsi="Calibri" w:eastAsia="PingFang SC"/>
          <w:b w:val="0"/>
          <w:i w:val="0"/>
          <w:color w:val="242A32"/>
        </w:rPr>
        <w:t>这种进化不是让模型自己随意改变系统，而是把每次失败变成可验证的工程记忆。最终形成的是一个会被经验不断加厚的工作流。</w:t>
      </w:r>
    </w:p>
    <w:p>
      <w:pPr>
        <w:pStyle w:val="Heading1"/>
      </w:pPr>
      <w:r>
        <w:rPr>
          <w:rFonts w:ascii="Calibri" w:hAnsi="Calibri" w:eastAsia="PingFang SC"/>
          <w:b/>
          <w:color w:val="2E74B5"/>
        </w:rPr>
        <w:t>六、结论与后续方向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c>
          <w:tcPr>
            <w:tcW w:type="dxa" w:w="9360"/>
            <w:tcMar>
              <w:top w:w="140" w:type="dxa"/>
              <w:bottom w:w="140" w:type="dxa"/>
              <w:start w:w="180" w:type="dxa"/>
              <w:end w:w="180" w:type="dxa"/>
            </w:tcMar>
            <w:vAlign w:val="center"/>
            <w:shd w:fill="F4F6F9"/>
          </w:tcPr>
          <w:p>
            <w:pPr>
              <w:spacing w:after="80"/>
            </w:pPr>
            <w:r/>
            <w:r>
              <w:rPr>
                <w:rFonts w:ascii="Calibri" w:hAnsi="Calibri" w:eastAsia="PingFang SC"/>
                <w:b/>
                <w:color w:val="1F4D78"/>
                <w:sz w:val="22"/>
              </w:rPr>
              <w:t>汇报收束</w:t>
            </w:r>
          </w:p>
          <w:p>
            <w:pPr>
              <w:spacing w:after="0"/>
            </w:pPr>
            <w:r>
              <w:rPr>
                <w:rFonts w:ascii="Calibri" w:hAnsi="Calibri" w:eastAsia="PingFang SC"/>
                <w:color w:val="242A32"/>
                <w:sz w:val="21"/>
              </w:rPr>
              <w:t>本项目的价值在于把法律合规要求、证券业务材料和 AI 工程能力连接起来。AI 提供理解复杂材料的能力，规则提供稳定边界，人工复核提供最终确认，测试提供持续回归。它不是单点工具，而是一个可持续扩展的合规工作流雏形。</w:t>
            </w:r>
          </w:p>
        </w:tc>
      </w:tr>
    </w:tbl>
    <w:p>
      <w:pPr>
        <w:pStyle w:val="Heading2"/>
      </w:pPr>
      <w:r>
        <w:rPr>
          <w:rFonts w:ascii="Calibri" w:hAnsi="Calibri" w:eastAsia="PingFang SC"/>
          <w:b/>
          <w:color w:val="2E74B5"/>
        </w:rPr>
        <w:t>后续可拓展方向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补齐身份材料真实 OCR 抽取，把身份证姓名、号码、地址、有效期纳入复核页。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支持更多券商对账单来源，扩展 extractor 和 normalizer，而不是重写整体流程。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实现“上次持仓 + 交易 = 本次持仓”的自动勾稽，减少人工核对负担。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在复核页增加原文定位预览，让用户点击待复核问题即可回到材料页码/行号。</w:t>
      </w:r>
    </w:p>
    <w:p>
      <w:pPr>
        <w:pStyle w:val="ListBullet"/>
      </w:pPr>
      <w:r>
        <w:rPr>
          <w:rFonts w:ascii="Calibri" w:hAnsi="Calibri" w:eastAsia="PingFang SC"/>
          <w:color w:val="242A32"/>
        </w:rPr>
        <w:t>把用户复核后的修正沉淀为规则或提示词回归样例，形成项目级知识记忆。</w:t>
      </w:r>
    </w:p>
    <w:p>
      <w:pPr>
        <w:pStyle w:val="Heading1"/>
      </w:pPr>
      <w:r>
        <w:rPr>
          <w:rFonts w:ascii="Calibri" w:hAnsi="Calibri" w:eastAsia="PingFang SC"/>
          <w:b/>
          <w:color w:val="2E74B5"/>
        </w:rPr>
        <w:t>七、PPT 拆页建议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800"/>
        <w:gridCol w:w="2680"/>
        <w:gridCol w:w="5880"/>
      </w:tblGrid>
      <w:tr>
        <w:trPr>
          <w:tblHeader/>
          <w:cantSplit/>
        </w:trPr>
        <w:tc>
          <w:tcPr>
            <w:tcW w:type="dxa" w:w="80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页码</w:t>
            </w:r>
          </w:p>
        </w:tc>
        <w:tc>
          <w:tcPr>
            <w:tcW w:type="dxa" w:w="268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标题</w:t>
            </w:r>
          </w:p>
        </w:tc>
        <w:tc>
          <w:tcPr>
            <w:tcW w:type="dxa" w:w="588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核心信息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1</w:t>
            </w:r>
          </w:p>
        </w:tc>
        <w:tc>
          <w:tcPr>
            <w:tcW w:type="dxa" w:w="26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项目题目</w:t>
            </w:r>
          </w:p>
        </w:tc>
        <w:tc>
          <w:tcPr>
            <w:tcW w:type="dxa" w:w="58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基金公司员工证券投资申报复核系统。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2</w:t>
            </w:r>
          </w:p>
        </w:tc>
        <w:tc>
          <w:tcPr>
            <w:tcW w:type="dxa" w:w="26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自我介绍与任务背景</w:t>
            </w:r>
          </w:p>
        </w:tc>
        <w:tc>
          <w:tcPr>
            <w:tcW w:type="dxa" w:w="58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从法律/合规学习到 AI 工程实践。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3</w:t>
            </w:r>
          </w:p>
        </w:tc>
        <w:tc>
          <w:tcPr>
            <w:tcW w:type="dxa" w:w="26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业务痛点</w:t>
            </w:r>
          </w:p>
        </w:tc>
        <w:tc>
          <w:tcPr>
            <w:tcW w:type="dxa" w:w="58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材料多源、格式复杂、人工核对风险高。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4</w:t>
            </w:r>
          </w:p>
        </w:tc>
        <w:tc>
          <w:tcPr>
            <w:tcW w:type="dxa" w:w="26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监管要求</w:t>
            </w:r>
          </w:p>
        </w:tc>
        <w:tc>
          <w:tcPr>
            <w:tcW w:type="dxa" w:w="58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申报主体、申报流程、审查点。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5</w:t>
            </w:r>
          </w:p>
        </w:tc>
        <w:tc>
          <w:tcPr>
            <w:tcW w:type="dxa" w:w="26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材料业务理解</w:t>
            </w:r>
          </w:p>
        </w:tc>
        <w:tc>
          <w:tcPr>
            <w:tcW w:type="dxa" w:w="58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中证登 vs 广发证券：不同来源，不同语义。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6</w:t>
            </w:r>
          </w:p>
        </w:tc>
        <w:tc>
          <w:tcPr>
            <w:tcW w:type="dxa" w:w="26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系统总体架构</w:t>
            </w:r>
          </w:p>
        </w:tc>
        <w:tc>
          <w:tcPr>
            <w:tcW w:type="dxa" w:w="58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上传、分流、解析、抽取、复核、导出。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7</w:t>
            </w:r>
          </w:p>
        </w:tc>
        <w:tc>
          <w:tcPr>
            <w:tcW w:type="dxa" w:w="26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AI 引入方式</w:t>
            </w:r>
          </w:p>
        </w:tc>
        <w:tc>
          <w:tcPr>
            <w:tcW w:type="dxa" w:w="58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skills / agent / workflow。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8</w:t>
            </w:r>
          </w:p>
        </w:tc>
        <w:tc>
          <w:tcPr>
            <w:tcW w:type="dxa" w:w="26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克服幻觉设计</w:t>
            </w:r>
          </w:p>
        </w:tc>
        <w:tc>
          <w:tcPr>
            <w:tcW w:type="dxa" w:w="58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JSON schema、证据、规则校验、人工复核。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9</w:t>
            </w:r>
          </w:p>
        </w:tc>
        <w:tc>
          <w:tcPr>
            <w:tcW w:type="dxa" w:w="26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标准化与合并</w:t>
            </w:r>
          </w:p>
        </w:tc>
        <w:tc>
          <w:tcPr>
            <w:tcW w:type="dxa" w:w="58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完整表、最终申报表、持仓、待复核问题。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10</w:t>
            </w:r>
          </w:p>
        </w:tc>
        <w:tc>
          <w:tcPr>
            <w:tcW w:type="dxa" w:w="26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前端流程</w:t>
            </w:r>
          </w:p>
        </w:tc>
        <w:tc>
          <w:tcPr>
            <w:tcW w:type="dxa" w:w="58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四步办理、材料缓存区、复核页、问小易。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11</w:t>
            </w:r>
          </w:p>
        </w:tc>
        <w:tc>
          <w:tcPr>
            <w:tcW w:type="dxa" w:w="26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正常演示</w:t>
            </w:r>
          </w:p>
        </w:tc>
        <w:tc>
          <w:tcPr>
            <w:tcW w:type="dxa" w:w="58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case_022：10 条完整表、6 条最终申报、3 条持仓。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12</w:t>
            </w:r>
          </w:p>
        </w:tc>
        <w:tc>
          <w:tcPr>
            <w:tcW w:type="dxa" w:w="26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高难度测试</w:t>
            </w:r>
          </w:p>
        </w:tc>
        <w:tc>
          <w:tcPr>
            <w:tcW w:type="dxa" w:w="58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多笔交易、资金流水、负向证明、OCR 遮挡。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13</w:t>
            </w:r>
          </w:p>
        </w:tc>
        <w:tc>
          <w:tcPr>
            <w:tcW w:type="dxa" w:w="26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测试结果</w:t>
            </w:r>
          </w:p>
        </w:tc>
        <w:tc>
          <w:tcPr>
            <w:tcW w:type="dxa" w:w="58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56 个 unittest 全部通过。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14</w:t>
            </w:r>
          </w:p>
        </w:tc>
        <w:tc>
          <w:tcPr>
            <w:tcW w:type="dxa" w:w="26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Agent 方法论</w:t>
            </w:r>
          </w:p>
        </w:tc>
        <w:tc>
          <w:tcPr>
            <w:tcW w:type="dxa" w:w="58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From context to memory / harness not asking / thin agent fat skills。</w:t>
            </w:r>
          </w:p>
        </w:tc>
      </w:tr>
      <w:tr>
        <w:trPr>
          <w:cantSplit/>
        </w:trPr>
        <w:tc>
          <w:tcPr>
            <w:tcW w:type="dxa" w:w="8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15</w:t>
            </w:r>
          </w:p>
        </w:tc>
        <w:tc>
          <w:tcPr>
            <w:tcW w:type="dxa" w:w="26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总结与展望</w:t>
            </w:r>
          </w:p>
        </w:tc>
        <w:tc>
          <w:tcPr>
            <w:tcW w:type="dxa" w:w="588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可控 AI 合规工作流，后续扩展方向。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eastAsia="PingFang SC"/>
          <w:b/>
          <w:color w:val="2E74B5"/>
        </w:rPr>
        <w:t>八、参考资料与项目证据</w:t>
      </w:r>
    </w:p>
    <w:p>
      <w:pPr>
        <w:pStyle w:val="Heading2"/>
      </w:pPr>
      <w:r>
        <w:rPr>
          <w:rFonts w:ascii="Calibri" w:hAnsi="Calibri" w:eastAsia="PingFang SC"/>
          <w:b/>
          <w:color w:val="2E74B5"/>
        </w:rPr>
        <w:t>1. 监管与业务资料</w:t>
      </w:r>
    </w:p>
    <w:p>
      <w:pPr>
        <w:spacing w:before="80" w:after="80"/>
      </w:pPr>
      <w:r>
        <w:rPr>
          <w:rFonts w:ascii="Calibri" w:hAnsi="Calibri" w:eastAsia="PingFang SC"/>
          <w:b w:val="0"/>
          <w:i/>
          <w:color w:val="636C76"/>
          <w:sz w:val="19"/>
        </w:rPr>
        <w:t>检索日期：2026-06-21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3300"/>
        <w:gridCol w:w="6060"/>
      </w:tblGrid>
      <w:tr>
        <w:trPr>
          <w:tblHeader/>
          <w:cantSplit/>
        </w:trPr>
        <w:tc>
          <w:tcPr>
            <w:tcW w:type="dxa" w:w="330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资料</w:t>
            </w:r>
          </w:p>
        </w:tc>
        <w:tc>
          <w:tcPr>
            <w:tcW w:type="dxa" w:w="606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链接</w:t>
            </w:r>
          </w:p>
        </w:tc>
      </w:tr>
      <w:tr>
        <w:trPr>
          <w:cantSplit/>
        </w:trPr>
        <w:tc>
          <w:tcPr>
            <w:tcW w:type="dxa" w:w="33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《中华人民共和国证券投资基金法》</w:t>
            </w:r>
          </w:p>
        </w:tc>
        <w:tc>
          <w:tcPr>
            <w:tcW w:type="dxa" w:w="60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https://fg.amac.org.cn/governmentrules_3854/flfg/fl/202003/t20200311_24633.html</w:t>
            </w:r>
          </w:p>
        </w:tc>
      </w:tr>
      <w:tr>
        <w:trPr>
          <w:cantSplit/>
        </w:trPr>
        <w:tc>
          <w:tcPr>
            <w:tcW w:type="dxa" w:w="33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《基金从业人员证券投资管理指引（试行）》</w:t>
            </w:r>
          </w:p>
        </w:tc>
        <w:tc>
          <w:tcPr>
            <w:tcW w:type="dxa" w:w="60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https://fg.amac.org.cn/governmentrules_3854/zcgz_zlgz/zlgz_cyry/zlgz_cyry_xwgf/201912/t20191222_24375.html</w:t>
            </w:r>
          </w:p>
        </w:tc>
      </w:tr>
      <w:tr>
        <w:trPr>
          <w:cantSplit/>
        </w:trPr>
        <w:tc>
          <w:tcPr>
            <w:tcW w:type="dxa" w:w="33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关于发布《基金从业人员证券投资管理指引（试行）》的通知</w:t>
            </w:r>
          </w:p>
        </w:tc>
        <w:tc>
          <w:tcPr>
            <w:tcW w:type="dxa" w:w="60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https://www.amac.org.cn/aboutassociation/gyxh_xhdt/xhdt_xhtz/201312/t20131230_1336.html</w:t>
            </w:r>
          </w:p>
        </w:tc>
      </w:tr>
      <w:tr>
        <w:trPr>
          <w:cantSplit/>
        </w:trPr>
        <w:tc>
          <w:tcPr>
            <w:tcW w:type="dxa" w:w="33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《公开募集证券投资基金管理人监督管理办法》</w:t>
            </w:r>
          </w:p>
        </w:tc>
        <w:tc>
          <w:tcPr>
            <w:tcW w:type="dxa" w:w="60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https://www.csrc.gov.cn/csrc/c101953/c2804634/content.shtml</w:t>
            </w:r>
          </w:p>
        </w:tc>
      </w:tr>
      <w:tr>
        <w:trPr>
          <w:cantSplit/>
        </w:trPr>
        <w:tc>
          <w:tcPr>
            <w:tcW w:type="dxa" w:w="33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《基金管理公司投资管理人员管理指导意见》</w:t>
            </w:r>
          </w:p>
        </w:tc>
        <w:tc>
          <w:tcPr>
            <w:tcW w:type="dxa" w:w="60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https://www.csrc.gov.cn/csrc/c101877/c1029635/content.shtml</w:t>
            </w:r>
          </w:p>
        </w:tc>
      </w:tr>
      <w:tr>
        <w:trPr>
          <w:cantSplit/>
        </w:trPr>
        <w:tc>
          <w:tcPr>
            <w:tcW w:type="dxa" w:w="33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《证券登记结算管理办法》</w:t>
            </w:r>
          </w:p>
        </w:tc>
        <w:tc>
          <w:tcPr>
            <w:tcW w:type="dxa" w:w="60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https://www.csrc.gov.cn/csrc/c106256/c1654023/content.shtml</w:t>
            </w:r>
          </w:p>
        </w:tc>
      </w:tr>
      <w:tr>
        <w:trPr>
          <w:cantSplit/>
        </w:trPr>
        <w:tc>
          <w:tcPr>
            <w:tcW w:type="dxa" w:w="33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中国结算证券查询服务</w:t>
            </w:r>
          </w:p>
        </w:tc>
        <w:tc>
          <w:tcPr>
            <w:tcW w:type="dxa" w:w="60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https://www.chinaclear.cn/zdjs/scxfw/plat_zindex.shtml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Calibri" w:hAnsi="Calibri" w:eastAsia="PingFang SC"/>
          <w:b/>
          <w:color w:val="2E74B5"/>
        </w:rPr>
        <w:t>2. 项目证据路径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600"/>
        <w:gridCol w:w="6760"/>
      </w:tblGrid>
      <w:tr>
        <w:trPr>
          <w:tblHeader/>
          <w:cantSplit/>
        </w:trPr>
        <w:tc>
          <w:tcPr>
            <w:tcW w:type="dxa" w:w="260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证据</w:t>
            </w:r>
          </w:p>
        </w:tc>
        <w:tc>
          <w:tcPr>
            <w:tcW w:type="dxa" w:w="6760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/>
                <w:color w:val="1F4D78"/>
                <w:sz w:val="18"/>
              </w:rPr>
              <w:t>路径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项目 README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extract_assistant/fund-declare-local/README.md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端到端复核导出验收记录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docs/review_layer_merge_test.md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中证登抽取 prompt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extract_assistant/fund-declare-local/prompts/chinaclear_extract_prompt.md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广发抽取 prompt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extract_assistant/fund-declare-local/prompts/guangfa_extract_prompt.md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最终结果构建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apps/api/app/pipeline/final_result_builder.py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合并与待复核问题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apps/api/app/pipeline/case_event_resolver.py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人工复核门禁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apps/api/app/pipeline/final_review.py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前端流程与 dirty 导出锁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apps/api/app/static/app.js</w:t>
            </w:r>
          </w:p>
        </w:tc>
      </w:tr>
      <w:tr>
        <w:trPr>
          <w:cantSplit/>
        </w:trPr>
        <w:tc>
          <w:tcPr>
            <w:tcW w:type="dxa" w:w="260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测试用例</w:t>
            </w:r>
          </w:p>
        </w:tc>
        <w:tc>
          <w:tcPr>
            <w:tcW w:type="dxa" w:w="6760"/>
          </w:tcPr>
          <w:p>
            <w:pPr>
              <w:spacing w:after="0" w:line="264" w:lineRule="auto"/>
            </w:pPr>
            <w:r/>
            <w:r>
              <w:rPr>
                <w:rFonts w:ascii="Calibri" w:hAnsi="Calibri" w:eastAsia="PingFang SC"/>
                <w:b w:val="0"/>
                <w:color w:val="242A32"/>
                <w:sz w:val="18"/>
              </w:rPr>
              <w:t>apps/api/tests/test_final_problem_events.py; test_guangfa_business_events.py; test_file_issue_summary.py; test_frontend_review_dirty.py</w:t>
            </w:r>
          </w:p>
        </w:tc>
      </w:tr>
    </w:tbl>
    <w:p>
      <w:pPr>
        <w:spacing w:after="80"/>
      </w:pPr>
    </w:p>
    <w:p>
      <w:r>
        <w:rPr>
          <w:rFonts w:ascii="Calibri" w:hAnsi="Calibri" w:eastAsia="PingFang SC"/>
          <w:b w:val="0"/>
          <w:i/>
          <w:color w:val="636C76"/>
          <w:sz w:val="20"/>
        </w:rPr>
        <w:t>验证记录：在 extract_assistant/fund-declare-local/apps/api 下运行 `./.venv/bin/python -m unittest discover -s tests`，结果为 Ran 56 tests in 4.240s, OK。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PingFang SC"/>
        <w:color w:val="636C76"/>
        <w:sz w:val="18"/>
      </w:rPr>
      <w:t>供后续 PPT 拆解使用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PingFang SC"/>
        <w:color w:val="636C76"/>
        <w:sz w:val="18"/>
      </w:rPr>
      <w:t>投资申报复核系统汇报文档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PingFang SC"/>
      <w:color w:val="242A3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contextualSpacing/>
    </w:pPr>
    <w:rPr>
      <w:rFonts w:ascii="Calibri" w:hAnsi="Calibri" w:eastAsia="PingFang SC"/>
      <w:color w:val="242A3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contextualSpacing/>
    </w:pPr>
    <w:rPr>
      <w:rFonts w:ascii="Calibri" w:hAnsi="Calibri" w:eastAsia="PingFang SC"/>
      <w:color w:val="242A3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