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E745">
      <w:pPr>
        <w:spacing w:before="480" w:after="480" w:line="288" w:lineRule="auto"/>
        <w:ind w:left="0"/>
        <w:jc w:val="center"/>
        <w:rPr>
          <w:rFonts w:hint="eastAsia" w:ascii="Arial" w:hAnsi="Arial" w:eastAsia="等线" w:cs="Arial"/>
          <w:b/>
          <w:sz w:val="52"/>
          <w:lang w:val="en-US" w:eastAsia="zh-CN"/>
        </w:rPr>
      </w:pPr>
      <w:r>
        <w:rPr>
          <w:rFonts w:ascii="Arial" w:hAnsi="Arial" w:eastAsia="等线" w:cs="Arial"/>
          <w:b/>
          <w:sz w:val="52"/>
        </w:rPr>
        <w:t>仓颉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生态创新开发挑战赛</w:t>
      </w:r>
    </w:p>
    <w:p w14:paraId="048771C5">
      <w:pPr>
        <w:spacing w:before="480" w:after="480" w:line="288" w:lineRule="auto"/>
        <w:ind w:left="0"/>
        <w:jc w:val="center"/>
        <w:rPr>
          <w:sz w:val="44"/>
          <w:szCs w:val="44"/>
        </w:rPr>
      </w:pPr>
      <w:r>
        <w:rPr>
          <w:rFonts w:ascii="Arial" w:hAnsi="Arial" w:eastAsia="等线" w:cs="Arial"/>
          <w:b/>
          <w:color w:val="000000"/>
          <w:sz w:val="44"/>
          <w:szCs w:val="44"/>
        </w:rPr>
        <w:t>CJ-DocGuard 作品申报</w:t>
      </w:r>
    </w:p>
    <w:p w14:paraId="4B8BD2B2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b/>
          <w:sz w:val="22"/>
        </w:rPr>
        <w:t>适用场景</w:t>
      </w:r>
      <w:r>
        <w:rPr>
          <w:rFonts w:ascii="Arial" w:hAnsi="Arial" w:eastAsia="等线" w:cs="Arial"/>
          <w:sz w:val="22"/>
        </w:rPr>
        <w:t>：仓颉</w:t>
      </w:r>
      <w:r>
        <w:rPr>
          <w:rFonts w:hint="eastAsia" w:ascii="Arial" w:hAnsi="Arial" w:eastAsia="等线" w:cs="Arial"/>
          <w:sz w:val="22"/>
          <w:lang w:val="en-US" w:eastAsia="zh-CN"/>
        </w:rPr>
        <w:t>生态创新开发挑战赛作品提交</w:t>
      </w:r>
    </w:p>
    <w:p w14:paraId="636226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填写说明：本模板为仓颉生态创新开发挑战赛赛事专属通用模板，适用于技术课题、工具类库、组件类库、算法类库、业务通用库、IoT适配库、性能优化库、框架类等所有作品。参赛者可根据自身作品的功能定位、应用场景微调模块内容，所有空白内容需如实、详细填写，重点突出仓颉语言特性、作品的实用性、通用性、创新性、生态赋能价值与商业价值，杜绝空项、笼统表述、套话空话。仓颉AI生态贡献加分为可选项，所有团队均须勾选是否申请；不申请的团队无需填写本模板第九部分的详细内容。仅使用AI辅助代码生成、测试、迁移、文档编写或一般性优化，不设置独立加分。</w:t>
      </w:r>
    </w:p>
    <w:p w14:paraId="41957B8E">
      <w:pPr>
        <w:keepNext/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  <w:r>
        <w:rPr>
          <w:rFonts w:ascii="Arial" w:hAnsi="Arial" w:eastAsia="等线" w:cs="Arial"/>
          <w:b/>
          <w:sz w:val="22"/>
        </w:rPr>
        <w:t>基础信息（必填）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1"/>
        <w:gridCol w:w="2158"/>
        <w:gridCol w:w="2142"/>
        <w:gridCol w:w="2370"/>
      </w:tblGrid>
      <w:tr w14:paraId="58A7AC77">
        <w:tc>
          <w:tcPr>
            <w:tcW w:w="1851" w:type="dxa"/>
          </w:tcPr>
          <w:p w14:paraId="68DFA0FA">
            <w:pPr>
              <w:spacing w:before="120" w:after="120" w:line="288" w:lineRule="auto"/>
              <w:jc w:val="left"/>
              <w:rPr>
                <w:rFonts w:hint="default" w:ascii="Arial" w:hAnsi="Arial" w:eastAsia="等线" w:cs="Arial"/>
                <w:b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vertAlign w:val="baseline"/>
                <w:lang w:val="en-US" w:eastAsia="zh-CN"/>
              </w:rPr>
              <w:t>赛事作品名称</w:t>
            </w:r>
          </w:p>
        </w:tc>
        <w:tc>
          <w:tcPr>
            <w:tcW w:w="6670" w:type="dxa"/>
            <w:gridSpan w:val="3"/>
          </w:tcPr>
          <w:p w14:paraId="75083C9D">
            <w:pPr>
              <w:spacing w:before="120" w:after="120" w:line="288" w:lineRule="auto"/>
              <w:jc w:val="left"/>
              <w:rPr>
                <w:rFonts w:ascii="Arial" w:hAnsi="Arial" w:eastAsia="等线" w:cs="Arial"/>
                <w:b/>
                <w:sz w:val="22"/>
                <w:vertAlign w:val="baseline"/>
              </w:rPr>
            </w:pPr>
            <w:r>
              <w:rPr>
                <w:rFonts w:ascii="Arial" w:hAnsi="Arial" w:eastAsia="等线" w:cs="Arial"/>
                <w:sz w:val="22"/>
              </w:rPr>
              <w:t>CJ-DocGuard 项目级 API 文档生成及示例证据验证</w:t>
            </w:r>
          </w:p>
        </w:tc>
      </w:tr>
      <w:tr w14:paraId="3D2E55CD">
        <w:tc>
          <w:tcPr>
            <w:tcW w:w="1851" w:type="dxa"/>
          </w:tcPr>
          <w:p w14:paraId="0DB8487A">
            <w:pPr>
              <w:spacing w:before="120" w:after="120" w:line="288" w:lineRule="auto"/>
              <w:jc w:val="left"/>
              <w:rPr>
                <w:rFonts w:hint="default" w:ascii="Arial" w:hAnsi="Arial" w:eastAsia="等线" w:cs="Arial"/>
                <w:b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vertAlign w:val="baseline"/>
                <w:lang w:val="en-US" w:eastAsia="zh-CN"/>
              </w:rPr>
              <w:t>队伍名称</w:t>
            </w:r>
          </w:p>
        </w:tc>
        <w:tc>
          <w:tcPr>
            <w:tcW w:w="6670" w:type="dxa"/>
            <w:gridSpan w:val="3"/>
          </w:tcPr>
          <w:p w14:paraId="0485E359">
            <w:pPr>
              <w:spacing w:before="120" w:after="120" w:line="288" w:lineRule="auto"/>
              <w:jc w:val="left"/>
              <w:rPr>
                <w:rFonts w:ascii="Arial" w:hAnsi="Arial" w:eastAsia="等线" w:cs="Arial"/>
                <w:b/>
                <w:sz w:val="22"/>
                <w:vertAlign w:val="baseline"/>
              </w:rPr>
            </w:pPr>
            <w:r>
              <w:rPr>
                <w:rFonts w:ascii="Arial" w:hAnsi="Arial" w:eastAsia="等线" w:cs="Arial"/>
                <w:sz w:val="22"/>
              </w:rPr>
              <w:t>CJ-DocGuard</w:t>
            </w:r>
          </w:p>
        </w:tc>
      </w:tr>
      <w:tr w14:paraId="38425DB1">
        <w:tc>
          <w:tcPr>
            <w:tcW w:w="1851" w:type="dxa"/>
          </w:tcPr>
          <w:p w14:paraId="155C0DF4">
            <w:pPr>
              <w:spacing w:before="120" w:after="120" w:line="288" w:lineRule="auto"/>
              <w:jc w:val="left"/>
              <w:rPr>
                <w:rFonts w:hint="default" w:ascii="Arial" w:hAnsi="Arial" w:eastAsia="等线" w:cs="Arial"/>
                <w:b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vertAlign w:val="baseline"/>
                <w:lang w:val="en-US" w:eastAsia="zh-CN"/>
              </w:rPr>
              <w:t>队伍负责人</w:t>
            </w:r>
          </w:p>
        </w:tc>
        <w:tc>
          <w:tcPr>
            <w:tcW w:w="6670" w:type="dxa"/>
            <w:gridSpan w:val="3"/>
          </w:tcPr>
          <w:p w14:paraId="7A731025">
            <w:pPr>
              <w:spacing w:before="120" w:after="120" w:line="288" w:lineRule="auto"/>
              <w:jc w:val="left"/>
              <w:rPr>
                <w:rFonts w:ascii="Arial" w:hAnsi="Arial" w:eastAsia="等线" w:cs="Arial"/>
                <w:b/>
                <w:sz w:val="22"/>
                <w:vertAlign w:val="baseline"/>
              </w:rPr>
            </w:pPr>
            <w:r>
              <w:rPr>
                <w:rFonts w:ascii="Arial" w:hAnsi="Arial" w:eastAsia="等线" w:cs="Arial"/>
                <w:sz w:val="22"/>
              </w:rPr>
              <w:t>陈帅</w:t>
            </w:r>
          </w:p>
        </w:tc>
      </w:tr>
      <w:tr w14:paraId="1C8F0497">
        <w:tc>
          <w:tcPr>
            <w:tcW w:w="1851" w:type="dxa"/>
          </w:tcPr>
          <w:p w14:paraId="367DB0D9">
            <w:pPr>
              <w:spacing w:before="120" w:after="120" w:line="288" w:lineRule="auto"/>
              <w:jc w:val="left"/>
              <w:rPr>
                <w:rFonts w:hint="default" w:ascii="Arial" w:hAnsi="Arial" w:eastAsia="等线" w:cs="Arial"/>
                <w:b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vertAlign w:val="baseline"/>
                <w:lang w:val="en-US" w:eastAsia="zh-CN"/>
              </w:rPr>
              <w:t>队伍成员</w:t>
            </w:r>
          </w:p>
        </w:tc>
        <w:tc>
          <w:tcPr>
            <w:tcW w:w="6670" w:type="dxa"/>
            <w:gridSpan w:val="3"/>
          </w:tcPr>
          <w:p w14:paraId="19A22216">
            <w:pPr>
              <w:spacing w:before="120" w:after="120" w:line="288" w:lineRule="auto"/>
              <w:jc w:val="left"/>
              <w:rPr>
                <w:rFonts w:ascii="Arial" w:hAnsi="Arial" w:eastAsia="等线" w:cs="Arial"/>
                <w:b/>
                <w:sz w:val="22"/>
                <w:vertAlign w:val="baseline"/>
              </w:rPr>
            </w:pPr>
            <w:r>
              <w:rPr>
                <w:rFonts w:ascii="Arial" w:hAnsi="Arial" w:eastAsia="等线" w:cs="Arial"/>
                <w:sz w:val="22"/>
              </w:rPr>
              <w:t>沈均皓、袁雨芳</w:t>
            </w:r>
          </w:p>
        </w:tc>
      </w:tr>
      <w:tr w14:paraId="71DF76D6">
        <w:tc>
          <w:tcPr>
            <w:tcW w:w="1851" w:type="dxa"/>
          </w:tcPr>
          <w:p w14:paraId="5CAA26E1">
            <w:pPr>
              <w:spacing w:before="120" w:after="120" w:line="288" w:lineRule="auto"/>
              <w:jc w:val="left"/>
              <w:rPr>
                <w:rFonts w:hint="default" w:ascii="Arial" w:hAnsi="Arial" w:eastAsia="等线" w:cs="Arial"/>
                <w:b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2158" w:type="dxa"/>
          </w:tcPr>
          <w:p w14:paraId="554A4E4F">
            <w:pPr>
              <w:spacing w:before="120" w:after="120" w:line="288" w:lineRule="auto"/>
              <w:jc w:val="left"/>
              <w:rPr>
                <w:rFonts w:ascii="Arial" w:hAnsi="Arial" w:eastAsia="等线" w:cs="Arial"/>
                <w:b/>
                <w:sz w:val="22"/>
                <w:vertAlign w:val="baseline"/>
              </w:rPr>
            </w:pPr>
            <w:r>
              <w:rPr>
                <w:rFonts w:ascii="Arial" w:hAnsi="Arial" w:eastAsia="等线" w:cs="Arial"/>
                <w:sz w:val="22"/>
              </w:rPr>
              <w:t>报名信息中提供</w:t>
            </w:r>
          </w:p>
        </w:tc>
        <w:tc>
          <w:tcPr>
            <w:tcW w:w="2142" w:type="dxa"/>
          </w:tcPr>
          <w:p w14:paraId="619920B4">
            <w:pPr>
              <w:spacing w:before="120" w:after="120" w:line="288" w:lineRule="auto"/>
              <w:jc w:val="left"/>
              <w:rPr>
                <w:rFonts w:hint="default" w:ascii="Arial" w:hAnsi="Arial" w:eastAsia="等线" w:cs="Arial"/>
                <w:b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vertAlign w:val="baseline"/>
                <w:lang w:val="en-US" w:eastAsia="zh-CN"/>
              </w:rPr>
              <w:t>联系邮箱</w:t>
            </w:r>
          </w:p>
        </w:tc>
        <w:tc>
          <w:tcPr>
            <w:tcW w:w="2370" w:type="dxa"/>
          </w:tcPr>
          <w:p w14:paraId="250540AE">
            <w:pPr>
              <w:spacing w:before="120" w:after="120" w:line="288" w:lineRule="auto"/>
              <w:jc w:val="left"/>
              <w:rPr>
                <w:rFonts w:ascii="Arial" w:hAnsi="Arial" w:eastAsia="等线" w:cs="Arial"/>
                <w:b/>
                <w:sz w:val="22"/>
                <w:vertAlign w:val="baseline"/>
              </w:rPr>
            </w:pPr>
            <w:r>
              <w:rPr>
                <w:rFonts w:ascii="Arial" w:hAnsi="Arial" w:eastAsia="等线" w:cs="Arial"/>
                <w:sz w:val="22"/>
              </w:rPr>
              <w:t>报名信息中提供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/>
            </w:r>
          </w:p>
        </w:tc>
      </w:tr>
      <w:tr w14:paraId="461D4668">
        <w:tc>
          <w:tcPr>
            <w:tcW w:w="1851" w:type="dxa"/>
          </w:tcPr>
          <w:p w14:paraId="4933EE4E">
            <w:pPr>
              <w:spacing w:before="120" w:after="120" w:line="288" w:lineRule="auto"/>
              <w:jc w:val="left"/>
              <w:rPr>
                <w:rFonts w:hint="default" w:ascii="Arial" w:hAnsi="Arial" w:eastAsia="等线" w:cs="Arial"/>
                <w:b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vertAlign w:val="baseline"/>
                <w:lang w:val="en-US" w:eastAsia="zh-CN"/>
              </w:rPr>
              <w:t>作品类型</w:t>
            </w:r>
          </w:p>
        </w:tc>
        <w:tc>
          <w:tcPr>
            <w:tcW w:w="6670" w:type="dxa"/>
            <w:gridSpan w:val="3"/>
          </w:tcPr>
          <w:p w14:paraId="3C1B7CA5">
            <w:pPr>
              <w:spacing w:before="120" w:after="120" w:line="288" w:lineRule="auto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color w:val="000000"/>
                <w:sz w:val="22"/>
                <w:lang w:eastAsia="zh-CN"/>
              </w:rPr>
              <w:t>☑ 技术课题：项目级 API 文档生成及测试（#9，最新明细待官方核验）</w:t>
            </w:r>
          </w:p>
        </w:tc>
      </w:tr>
      <w:tr w14:paraId="32E2A273">
        <w:tc>
          <w:tcPr>
            <w:tcW w:w="1851" w:type="dxa"/>
          </w:tcPr>
          <w:p w14:paraId="787A4F7A">
            <w:pPr>
              <w:spacing w:before="120" w:after="120" w:line="288" w:lineRule="auto"/>
              <w:jc w:val="left"/>
              <w:rPr>
                <w:rFonts w:hint="default" w:ascii="Arial" w:hAnsi="Arial" w:eastAsia="等线" w:cs="Arial"/>
                <w:b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vertAlign w:val="baseline"/>
                <w:lang w:val="en-US" w:eastAsia="zh-CN"/>
              </w:rPr>
              <w:t>使用环境</w:t>
            </w:r>
          </w:p>
        </w:tc>
        <w:tc>
          <w:tcPr>
            <w:tcW w:w="6670" w:type="dxa"/>
            <w:gridSpan w:val="3"/>
          </w:tcPr>
          <w:p w14:paraId="7257CF46">
            <w:pPr>
              <w:spacing w:before="120" w:after="120" w:line="288" w:lineRule="auto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color w:val="000000"/>
                <w:sz w:val="22"/>
                <w:lang w:eastAsia="zh-CN"/>
              </w:rPr>
              <w:t>☑ 仓颉原生环境  ☑ 服务端开发工具；支持边界见验收说明</w:t>
            </w:r>
          </w:p>
        </w:tc>
      </w:tr>
    </w:tbl>
    <w:p w14:paraId="0DBE8480">
      <w:pPr>
        <w:keepNext/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一、项目概述</w:t>
      </w:r>
      <w:bookmarkEnd w:id="0"/>
    </w:p>
    <w:p w14:paraId="5F367A4B">
      <w:pPr>
        <w:keepLines/>
        <w:spacing w:before="120" w:after="120" w:line="288" w:lineRule="auto"/>
        <w:ind w:left="0"/>
        <w:jc w:val="left"/>
        <w:rPr>
          <w:color w:val="A5A5A5" w:themeColor="background1" w:themeShade="A6"/>
        </w:rPr>
      </w:pPr>
      <w:r>
        <w:rPr>
          <w:rFonts w:ascii="Arial" w:hAnsi="Arial" w:eastAsia="等线" w:cs="Arial"/>
          <w:color w:val="000000"/>
          <w:sz w:val="22"/>
        </w:rPr>
        <w:t>1. 项目一句话定位：CJ-DocGuard 面向仓颉库维护者与 AI 编码助手，生成接口文档，实际编译运行登记示例，并仅返回与当前源码、SDK（软件开发工具包） 和断言匹配的有效运行证据。</w:t>
      </w:r>
    </w:p>
    <w:p w14:paraId="1CF223B0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2. 项目开发背景：文档示例可能随接口和 SDK 更新失效，历史成功也可能掩盖最新失败。项目将接口、源码、示例、工具链和验证结果绑定在一起，让维护者和 AI 助手可以核查证据来源。已有文档工具和 AI 框架，因此本项目不主张该领域空白或首次发明。</w:t>
      </w:r>
    </w:p>
    <w:p w14:paraId="36CAC530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3. 项目核心目标：基础目标是可检索的接口与示例文档、双 SDK 编译运行、链接检查和严格检查；进阶目标是内容指纹失效、最新尝试优先、只读 AI 查询和有效示例包导出。支持范围以实际验收为准。</w:t>
      </w:r>
    </w:p>
    <w:p w14:paraId="279548E3">
      <w:pPr>
        <w:keepNext/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二、需求分析与适用人群</w:t>
      </w:r>
      <w:bookmarkEnd w:id="1"/>
    </w:p>
    <w:p w14:paraId="33BF1A8B">
      <w:pPr>
        <w:keepLines/>
        <w:spacing w:before="120" w:after="120" w:line="288" w:lineRule="auto"/>
        <w:ind w:left="0"/>
        <w:jc w:val="left"/>
        <w:rPr>
          <w:color w:val="A5A5A5" w:themeColor="background1" w:themeShade="A6"/>
        </w:rPr>
      </w:pPr>
      <w:r>
        <w:rPr>
          <w:rFonts w:ascii="Arial" w:hAnsi="Arial" w:eastAsia="等线" w:cs="Arial"/>
          <w:color w:val="000000"/>
          <w:sz w:val="22"/>
        </w:rPr>
        <w:t>1. 目标用户：需要维护仓颉库文档的作者、排查 SDK 兼容问题的开发者，以及需要可信示例的 AI 编码助手。工具适合明确批准本地代码执行的项目维护流程。</w:t>
      </w:r>
    </w:p>
    <w:p w14:paraId="54110971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2. 开发痛点：声明与文档缺少对应关系；代码例子未经实际执行；SDK 版本信息不完整；修改后仍引用旧成功；最新失败被历史结果遮盖；共享代码缺少可复现的输入和断言。</w:t>
      </w:r>
    </w:p>
    <w:p w14:paraId="299DFCF9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3. 解决方案：从原生语法树提取声明和位置，按配置独立运行示例；绑定源码、配置、工具和 SDK 摘要；修改后拒绝旧证据，优先呈现最新尝试；用只读查询和 export 提供可追溯内容。未知输入不晋升为可信通过。</w:t>
      </w:r>
    </w:p>
    <w:p w14:paraId="341747F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作品</w:t>
      </w:r>
      <w:r>
        <w:rPr>
          <w:rFonts w:ascii="Arial" w:hAnsi="Arial" w:eastAsia="等线" w:cs="Arial"/>
          <w:b/>
          <w:sz w:val="32"/>
        </w:rPr>
        <w:t>核心能力与功能设计</w:t>
      </w:r>
      <w:bookmarkEnd w:id="2"/>
    </w:p>
    <w:p w14:paraId="4287377A">
      <w:pPr>
        <w:keepNext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基础通用能力（</w:t>
      </w:r>
      <w:r>
        <w:rPr>
          <w:rFonts w:hint="eastAsia" w:ascii="Arial" w:hAnsi="Arial" w:eastAsia="等线" w:cs="Arial"/>
          <w:sz w:val="22"/>
          <w:lang w:val="en-US" w:eastAsia="zh-CN"/>
        </w:rPr>
        <w:t>作品</w:t>
      </w:r>
      <w:r>
        <w:rPr>
          <w:rFonts w:ascii="Arial" w:hAnsi="Arial" w:eastAsia="等线" w:cs="Arial"/>
          <w:sz w:val="22"/>
        </w:rPr>
        <w:t>核心必备功能，保障可用、好用）</w:t>
      </w:r>
    </w:p>
    <w:p w14:paraId="0ED56B36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（1）能力一：接口文档与导航。使用 std.ast 提取显式公共声明、参数、返回类型、注释和位置，输出 JSON、Markdown 和离线 HTML 搜索；运行 build 生成接口、源码与示例索引。支持声明子集，尚不提供完整语义推断。</w:t>
      </w:r>
    </w:p>
    <w:p w14:paraId="2E6DC64A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（2）能力二：真实示例验证。verify 在登记 SDK 下逐例编译运行，核对输出、退出码和断言并保存日志；check --strict 返回 0、1 或 2，分别表示满足要求、要求未满足、环境或配置异常。仅编译项单独标注。</w:t>
      </w:r>
    </w:p>
    <w:p w14:paraId="7E85C5E0">
      <w:pPr>
        <w:keepNext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创新特色能力（赛事加分核心，重点填写）</w:t>
      </w:r>
    </w:p>
    <w:p w14:paraId="240C4593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（1）创新点一：针对当前输入的证据准入。全项目与工具内容变化会使旧证据失效；最新失败、取消或未完成尝试阻断历史成功，避免使用过期结果。完整性检查覆盖快照、命令阶段日志和断言。其代价是内容摘要检查和重验开销。</w:t>
      </w:r>
    </w:p>
    <w:p w14:paraId="02F39B7A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（2）创新点二：从查询到复现的闭环。三个只读 MCP（模型上下文协议） 工具提供接口与当前运行证据，原生 export 仅导出当前有效单例的冻结源码、实际编译单元、脚本及清单。导出后可使用对应 SDK 独立重建，不将登记断言外推为接口全行为保证。</w:t>
      </w:r>
    </w:p>
    <w:p w14:paraId="0D4BE9E7">
      <w:pPr>
        <w:keepNext/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四、仓颉语言核心特性应用</w:t>
      </w:r>
      <w:bookmarkEnd w:id="3"/>
    </w:p>
    <w:p w14:paraId="0ACBD86C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1. 仓颉原生语法树：std.ast 解析声明结构，保存泛型、重载、显式类型、源码位置及提取诊断；用人工符号清单和真实 SDK 测试核对支持子集，避免把文本匹配当成完整语法理解。</w:t>
      </w:r>
    </w:p>
    <w:p w14:paraId="77EF33D2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2. 静态类型与泛型：配置、JSON 树及证据状态使用明确的数据类型；健康项目覆盖泛型函数和容器、结构体、枚举、接口、可选返回值与回调。两个真实 SDK 独立执行相同登记断言。</w:t>
      </w:r>
    </w:p>
    <w:p w14:paraId="2835AB27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3. 异常处理与模块化：配置、提取、平台、证据、报告及导出分模块实现；捕获异常并附操作阶段，拒绝无效参数、破损证据和越界路径。Unix 进程监督器对超时与子进程组作资源控制，但不宣称安全沙箱。</w:t>
      </w:r>
    </w:p>
    <w:p w14:paraId="2C34FAB7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开发技术栈与工具：核心为 Cangjie 1.1.3/1.2.0；C 实现 Unix 进程监督，Python 标准库负责构建、测试、集成和只读 MCP 适配。使用实际 SDK 的 cjc/cjpm。许可为 Apache-2.0；上游样例保留固定提交与各自 MIT/Apache-2.0 许可。</w:t>
      </w:r>
    </w:p>
    <w:p w14:paraId="2BC89E6F">
      <w:pPr>
        <w:keepNext/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五、库性能与兼容性设计</w:t>
      </w:r>
      <w:bookmarkEnd w:id="4"/>
    </w:p>
    <w:p w14:paraId="4C7DD5AA">
      <w:pPr>
        <w:keepLines/>
        <w:spacing w:before="120" w:after="120" w:line="288" w:lineRule="auto"/>
        <w:ind w:left="0"/>
        <w:jc w:val="left"/>
        <w:rPr>
          <w:color w:val="A5A5A5" w:themeColor="background1" w:themeShade="A6"/>
        </w:rPr>
      </w:pPr>
      <w:r>
        <w:rPr>
          <w:rFonts w:ascii="Arial" w:hAnsi="Arial" w:eastAsia="等线" w:cs="Arial"/>
          <w:color w:val="000000"/>
          <w:sz w:val="22"/>
        </w:rPr>
        <w:t>1. 内存实测：308 次历史隔离副本、128MB 堆预算，旧版 check/verify 内存不足；流式报告修复后 query/verify/check 均退出 0，历史保留。默认堆旧异常唯一根因仍未知，详见 docs/memory-diagnostics.md。</w:t>
      </w:r>
    </w:p>
    <w:p w14:paraId="461F3029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2. 兼容性：实际验证 macOS arm64 与 Ubuntu 22.04 Linux aarch64，分别使用 1.1.3/1.2.0 双 SDK。未验证的架构、Windows、鸿蒙、外部依赖及多包构建不列为支持。Linux 原始身份与日志见 docs/linux-verification.md。</w:t>
      </w:r>
    </w:p>
    <w:p w14:paraId="5C919D69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3. 稳定性：严格配置、命令允许列表与路径边界；执行前登记，超时取消清理，校验日志和快照摘要，保留完整矩阵分母。失败、未知、缺断言和仅编译均不晋升为运行证据。</w:t>
      </w:r>
    </w:p>
    <w:p w14:paraId="4DA16FF8">
      <w:pPr>
        <w:keepNext/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六、使用说明与落地场景</w:t>
      </w:r>
      <w:bookmarkEnd w:id="5"/>
    </w:p>
    <w:p w14:paraId="3D02E115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1. 快速接入：安装指定官方 SDK，运行 python3 scripts/dev.py build；在独立可信项目配置 sources、documents、sdks、examples 和输出断言，运行 verify --matrix，再运行 check --strict。只读 AI 接口配置和调用见 skills/cj-docguard/SKILL.md 与 docs/query-options.md。</w:t>
      </w:r>
    </w:p>
    <w:p w14:paraId="38C8A869">
      <w:pPr>
        <w:keepLines/>
        <w:spacing w:before="120" w:after="120" w:line="288" w:lineRule="auto"/>
        <w:ind w:left="0"/>
        <w:jc w:val="left"/>
        <w:rPr>
          <w:color w:val="A5A5A5" w:themeColor="background1" w:themeShade="A6"/>
        </w:rPr>
      </w:pPr>
      <w:r>
        <w:rPr>
          <w:rFonts w:ascii="Arial" w:hAnsi="Arial" w:eastAsia="等线" w:cs="Arial"/>
          <w:color w:val="000000"/>
          <w:sz w:val="22"/>
        </w:rPr>
        <w:t>2. 落地场景：库发布前检查文档与 SDK 示例；团队迭代时拒绝过期验证；学习项目查看声明与源码；向 AI 助手提供可复现证据；开源维护者导出最小复现包并保存不同版本的报告差异。暂未证明第三方实际采用。</w:t>
      </w:r>
    </w:p>
    <w:p w14:paraId="4561DF26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3. 核心价值：开发者可以依据可查日志和断言判断示例是否适用于当前工程；维护者能够保留完整失败历史与版本差异；AI 工具可以复用受约束的只读证据服务。模型生成成功率变化以实际对照实验为准，不预先宣称提升。</w:t>
      </w:r>
    </w:p>
    <w:p w14:paraId="0C526B80">
      <w:pPr>
        <w:keepNext/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七、可行性与开发落地规划</w:t>
      </w:r>
      <w:bookmarkEnd w:id="6"/>
    </w:p>
    <w:p w14:paraId="28055718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1. 技术可行性：干净源码4910c15在macOS arm64双SDK复验，80项Python、14个原生程序、28格矩阵及26格导出重建通过。完整身份与边界见 docs/acceptance.md。</w:t>
      </w:r>
    </w:p>
    <w:p w14:paraId="3336E7A0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2. 落地可行性：公开仓库提供许可证、安装文档、失败样例和复验命令，可用于库发布检查及故障定位；当前支持经维护者审核的单包项目，边界见 docs/support.md。</w:t>
      </w:r>
    </w:p>
    <w:p w14:paraId="778B14BC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3. 当前进度：核心开发与独立复验完成；上游120格、Linux、128MB堆及30对AI任务为历史实验，失败与未知保留。新版视频约2分58秒，含真实日志动画、晓伊合成配音与字幕；已提供B站链接，正式提交由负责人完成。</w:t>
      </w:r>
    </w:p>
    <w:p w14:paraId="15F292A4">
      <w:pPr>
        <w:keepNext/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八、作品总结与未来展望</w:t>
      </w:r>
      <w:bookmarkEnd w:id="7"/>
    </w:p>
    <w:p w14:paraId="0CD05B5B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1. 项目总结：CJ-DocGuard 将接口声明、真实执行与当前证据准入连成可复现链路，支持源码及SDK内容失效、最新尝试优先、失败保留、只读查询与导出。核心状态判定由仓颉实现，便于持续用于库维护与示例复验。</w:t>
      </w:r>
    </w:p>
    <w:p w14:paraId="7A4A2C6A">
      <w:pPr>
        <w:keepLines/>
        <w:spacing w:before="120" w:after="120" w:line="288" w:lineRule="auto"/>
        <w:ind w:left="0"/>
        <w:jc w:val="left"/>
        <w:rPr>
          <w:rFonts w:hint="default" w:ascii="Arial" w:hAnsi="Arial" w:eastAsia="等线" w:cs="Arial"/>
          <w:color w:val="A5A5A5" w:themeColor="background1" w:themeShade="A6"/>
          <w:sz w:val="22"/>
          <w:lang w:val="en-US" w:eastAsia="zh-CN"/>
        </w:rPr>
      </w:pPr>
      <w:r>
        <w:rPr>
          <w:rFonts w:ascii="Arial" w:hAnsi="Arial" w:eastAsia="等线" w:cs="Arial"/>
          <w:color w:val="000000"/>
          <w:sz w:val="22"/>
        </w:rPr>
        <w:t>2. 未来展望：完善 Markdown、多包支持和上游协作；决赛差异随真实迭代生成。</w:t>
      </w:r>
    </w:p>
    <w:p w14:paraId="3633CAF9">
      <w:pPr>
        <w:keepNext/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九、仓颉AI生态贡献加分申请（可选）</w:t>
      </w:r>
    </w:p>
    <w:p w14:paraId="423C3D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A5A5A5" w:themeColor="background1" w:themeShade="A6"/>
          <w:sz w:val="22"/>
        </w:rPr>
        <w:t>本项最高10分，仅面向为仓颉AI生态形成的可运行、可复用、可验证贡献成果。普通AI辅助开发不单独加分；不以工具数量、调用次数或AI使用过程作为评分依据。申请成果可以是AI工具、Skill、Agent、MCP工具、工作流、提示模板、语料或示例能力。</w:t>
      </w:r>
    </w:p>
    <w:p w14:paraId="18E443F6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申请情况（必选）：□ 不申请仓颉AI生态贡献加分  ☑ 申请仓颉AI生态贡献加分</w:t>
      </w:r>
    </w:p>
    <w:p w14:paraId="357706C9">
      <w:pPr>
        <w:keepNext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贡献成果基本信息（申请者填写）</w:t>
      </w:r>
    </w:p>
    <w:p w14:paraId="59BD3D3D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贡献成果名称：CJ-DocGuard 仓颉证据查询 Skill 与只读 MCP 示例复现工作流。Skill 为助手操作指南，MCP 为模型上下文协议，用于让助手调用工具。</w:t>
      </w:r>
    </w:p>
    <w:p w14:paraId="0A4B2129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贡献类型：☑ 工具  ☑ Skill  ☑ MCP 工具  ☑ 工作流  ☑ 提示模板  ☑ 示例。成果为自研能力的独立分发，不以一般 AI 辅助开发过程申请加分。</w:t>
      </w:r>
    </w:p>
    <w:p w14:paraId="6761511D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解决的问题、用户与场景：仓颉维护者更新接口或 SDK 后，需要重新确认示例可用性；AI 编码助手引用陌生接口时，需要精确环境下的执行依据。成果返回当前有效示例及真实尝试编号，拒绝过期、未知、仅编译、破损证据及较新失败后的旧成功。</w:t>
      </w:r>
    </w:p>
    <w:p w14:paraId="768F93B2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与仓颉生态及作品的关系：仓颉 std.ast 提取接口声明，原生引擎负责源码身份、状态与证据准入。Python 标准库适配器调用真实引擎，提供 list_symbols、get_verified_examples、get_evidence 三个查询工具。只读指不修改项目源码、不执行登记例子，查询仍产生私有探针日志。</w:t>
      </w:r>
    </w:p>
    <w:p w14:paraId="184FE7C3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贡献代码仓库或PR链接：https://atomgit.com/c2892480843s/cj-docguard-ai。独立分发固定提交 4b07cb87f641fe1d8052a780626d29247b922534；原生引擎来源为主作品 8a886f73f28d29c7fe92f2ea9dbebaa205b7f68a，见 SOURCE.json。本成果自研，无需虚构向他人项目提交的 PR。</w:t>
      </w:r>
    </w:p>
    <w:p w14:paraId="760C75AB">
      <w:pPr>
        <w:keepNext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安装、运行与复用说明</w:t>
      </w:r>
    </w:p>
    <w:p w14:paraId="2FC3A9B6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安装或配置方式：按独立仓库 README 安装 Python 3.11.4+、系统 C 编译器及真实官方 SDK；固定上述主引擎提交后执行 python3 scripts/dev.py build。替换 examples/mcp-client.example.json 的绝对路径、SDK 和运行库环境，按实际客户端格式配置。无额外模型付费服务依赖。</w:t>
      </w:r>
    </w:p>
    <w:p w14:paraId="09E38108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运行、调用或复用步骤：先审核 examples/reuse-project，执行 verify --matrix 与 check --strict；通过 MCP stdio（标准输入/输出通信）会话握手和 tools/list 确认三个工具，再按准确 SDK、平台查询当前证据。工作流见 workflows/evidence-first.md，提示模板见 prompts/evidence-first.md，Skill 见 skills/cj-docguard/SKILL.md。真实图形客户端的自动加载尚未验证。</w:t>
      </w:r>
    </w:p>
    <w:p w14:paraId="71D3FCEA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核心示例及预期结果：独立贡献包的自建 add 例在 SDK 1.1.3/1.2.0 下输出 3，矩阵验证和严格检查退出 0；有效例导出后以对应真实 SDK 独立重建，输出 3。改变加法为减法后旧证据被拒绝，真实断言失败退出 1；恢复源码仍须重验，重验后有效证据恢复。</w:t>
      </w:r>
    </w:p>
    <w:p w14:paraId="4EDCF1D8">
      <w:pPr>
        <w:keepNext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测试与验证材料</w:t>
      </w:r>
    </w:p>
    <w:p w14:paraId="31A3C853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测试材料：独立贡献仓库 docs/verification.md 与 evidence/ 保存固定引擎身份、命令、请求/响应、标准输出/错误和退出码。R11 主仓库 13 项协议替身测试加 1 项真实原生集成，共 14 项通过、零跳过；独立包另有 13 项协议替身测试，覆盖重叠不相加。双 SDK 小样例、三个只读工具与导出复用已实测。本次文档补充未重跑产品测试。</w:t>
      </w:r>
    </w:p>
    <w:p w14:paraId="157F864A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材料完整性：独立贡献包共 54 文件，含源码、Apache-2.0 LICENSE、README、SOURCE.json、FILES.json、配置、工作流、提示模板、Skill、最小仓颉样例、测试与脱敏验证日志。安装和复用入口：https://atomgit.com/c2892480843s/cj-docguard-ai/blob/main/README.md。主作品视频：https://www.bilibili.com/video/BV1R5HC6MEDo/。</w:t>
      </w:r>
    </w:p>
    <w:p w14:paraId="32ED3869">
      <w:pPr>
        <w:keepNext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评分参考（最高10分）</w:t>
      </w:r>
    </w:p>
    <w:p w14:paraId="18B705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生态相关性2分；实际可用性3分；可复用性2分；完整性2分；可验证性1分。</w:t>
      </w:r>
    </w:p>
    <w:p>
      <w:pPr>
        <w:keepNext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评分维度对应证据（以下分值为评分上限，不是团队自评分）</w:t>
      </w:r>
    </w:p>
    <w:p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生态相关性（上限2分）：直接服务仓颉库维护与 AI 辅助编码。接口声明、源码身份和证据准入均来自仓颉原生引擎，三个只读工具把精确 SDK 与平台下的有效示例提供给助手。证据入口：主作品 src/extractor.cj、src/evidence.cj；独立仓库 scripts/mcp_stdio.py、SOURCE.json。</w:t>
      </w:r>
    </w:p>
    <w:p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实际可用性（上限3分）：R11 在 macOS arm64 真实构建引擎，完成 14 项 MCP 测试及真实 stdio 握手、三个工具查询。SDK 1.1.3/1.2.0 自建 add 例的验证与 strict 通过，导出目录经真实 SDK 独立重建输出 3。错误平台、缺环境、执行工具和旧证据均按规则拒绝。证据入口：docs/verification.md、evidence/logs/commands.json。</w:t>
      </w:r>
    </w:p>
    <w:p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可复用性（上限2分）：提供 Skill、配置 JSON、提示模板、工作流及三文件最小仓颉项目，可按 README 固定主引擎、替换本机路径与准确环境后复用。开发者可以查询当前有效例、引用尝试编号，并经 CLI 导出独立重建。复用条件和缺证据处理均有说明；未宣称任意客户端自动兼容或已被外部团队采用。</w:t>
      </w:r>
    </w:p>
    <w:p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完整性（上限2分）：独立公开仓库与 54 文件离线包提供代码、许可、安装说明、输入配置、样例、测试、验证日志和逐文件摘要。主作品提供完整源码、统一模板、视频、PPT及测试复现入口。入口：独立仓库 README、FILES.json；主仓库 submission/README.md；离线包 CJ-DocGuard-AI生态贡献包-20261007.zip。</w:t>
      </w:r>
    </w:p>
    <w:p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可验证性（上限1分）：受测主引擎提交、SDK、实际平台与每条命令退出码均有记录，成功、预期断言失败及恢复后重验分别保留。公开日志脱敏，原始与分发副本摘要分别记录；评委可按 README 重跑并核对输出。独立仓库 docs/verification.md、evidence/ 与主仓库 docs/acceptance.md 形成定位路径。</w:t>
      </w:r>
    </w:p>
    <w:p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申请边界：本成果提供可运行、可复用的仓颉证据查询能力。本轮贡献包未验证图形客户端自动接入、Linux 运行或第三方采用；Windows 未支持。历史30对模型试验功能均30/30，综合基础组30/30、证据组29/30，未证明模型效果提升。评分由评审决定，决赛需按最终版本重新验证。</w:t>
      </w:r>
    </w:p>
    <w:p w14:paraId="62D64E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A5A5A5" w:themeColor="background1" w:themeShade="A6"/>
          <w:sz w:val="22"/>
        </w:rPr>
        <w:t>申请团队须提交：①生态贡献说明；②自研成果代码仓库或扩展现有项目的PR链接；③安装、运行、复用及验证材料。材料可填写仓库内路径或有效链接，无须提交完整AI对话或调用记录。</w:t>
      </w:r>
    </w:p>
    <w:p w14:paraId="41F447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A5A5A5" w:themeColor="background1" w:themeShade="A6"/>
          <w:sz w:val="22"/>
        </w:rPr>
        <w:t>仅描述设想、仅展示AI使用过程、仅提交简单提示词，或成果无法运行、无法复用、与仓颉生态无明确关联、材料无法核验的，原则上不予加分。涉及个人信息、账号、密钥或其他敏感信息的材料，提交前须完成脱敏。</w:t>
      </w:r>
    </w:p>
    <w:p w14:paraId="7AC1D0B5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真实性确认：☑ 贡献成果与仓颉生态相关  ☑ 成果能够安装、运行或复用  ☑ 所提供代码与材料真实、完整、可核验；已知失败和支持边界见验收说明。</w:t>
      </w:r>
    </w:p>
    <w:p w14:paraId="5C7245ED">
      <w:pPr>
        <w:keepNext/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十、补充说明（可选）</w:t>
      </w:r>
      <w:bookmarkEnd w:id="8"/>
    </w:p>
    <w:p w14:paraId="4C84943A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主作品源码：https://atomgit.com/c2892480843s/cj-docguard。测试过程、结果与复现见 docs/acceptance.md、docs/demo.md；必交清单、验证附件、视频链接及答辩 PPT 见 submission/README.md。支持边界见 docs/support.md；课题#9最新完整明细仍待核验。</w:t>
      </w:r>
    </w:p>
    <w:p w14:paraId="2172F4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填报承诺</w:t>
      </w:r>
      <w:r>
        <w:rPr>
          <w:rFonts w:ascii="Arial" w:hAnsi="Arial" w:eastAsia="等线" w:cs="Arial"/>
          <w:sz w:val="22"/>
        </w:rPr>
        <w:t>：本团队承诺本次</w:t>
      </w:r>
      <w:r>
        <w:rPr>
          <w:rFonts w:hint="eastAsia" w:ascii="Arial" w:hAnsi="Arial" w:eastAsia="等线" w:cs="Arial"/>
          <w:sz w:val="22"/>
          <w:lang w:val="en-US" w:eastAsia="zh-CN"/>
        </w:rPr>
        <w:t>参赛作品为</w:t>
      </w:r>
      <w:r>
        <w:rPr>
          <w:rFonts w:ascii="Arial" w:hAnsi="Arial" w:eastAsia="等线" w:cs="Arial"/>
          <w:sz w:val="22"/>
        </w:rPr>
        <w:t>原创开源作品，无抄袭、盗用、侵权、搬运行为，代码与文档内容真实有效，符合赛事参赛规则，特此承诺。</w:t>
      </w:r>
    </w:p>
    <w:p w14:paraId="02339A71">
      <w:pPr>
        <w:keepLines/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000000"/>
          <w:sz w:val="22"/>
        </w:rPr>
        <w:t>团队签字：________________（</w:t>
      </w:r>
      <w:bookmarkStart w:id="9" w:name="_GoBack"/>
      <w:bookmarkEnd w:id="9"/>
      <w:r>
        <w:rPr>
          <w:rFonts w:ascii="Arial" w:hAnsi="Arial" w:eastAsia="等线" w:cs="Arial"/>
          <w:color w:val="000000"/>
          <w:sz w:val="22"/>
        </w:rPr>
        <w:t>本人签署）  日期：2026年10月7日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47BB2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96D11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FEEC2B2"/>
    <w:rsid w:val="5B5EFE76"/>
    <w:rsid w:val="77F77F27"/>
    <w:rsid w:val="7BFEB7D2"/>
    <w:rsid w:val="EB9FBEE5"/>
    <w:rsid w:val="F77B58D7"/>
    <w:rsid w:val="FF1F06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16</TotalTime>
  <ScaleCrop>false</ScaleCrop>
  <LinksUpToDate>false</LinksUpToDate>
  <Application>WPS Office_12.1.26046.26046_F1E327BC-269C-435d-A152-05C5408002CA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2026-08-18T13:51:00Z</dcterms:created>
  <dc:creator>CJ-DocGuard</dc:creator>
  <cp:lastModifiedBy>CJ-DocGuard</cp:lastModifiedBy>
  <dcterms:modified xsi:type="dcterms:W3CDTF">2026-10-07T17:18:31Z</dcterms:modified>
  <dc:subject>赛事作品提交及仓颉AI生态贡献加分申请</dc:subject>
  <dc:title>仓颉生态创新开发挑战赛作品提交模板（AI生态贡献10分最新版）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{"Label":"1","ContentProducer":"001191110102MACQD9K64010000","ProduceID":"7674874260141477139","ReservedCode1":"","ContentPropagator":"","PropagateID":"","ReservedCode2":""}</vt:lpwstr>
  </property>
  <property fmtid="{D5CDD505-2E9C-101B-9397-08002B2CF9AE}" pid="3" name="KSOProductBuildVer">
    <vt:lpwstr>2052-12.1.26046.26046</vt:lpwstr>
  </property>
  <property fmtid="{D5CDD505-2E9C-101B-9397-08002B2CF9AE}" pid="4" name="ICV">
    <vt:lpwstr>A12C7042B9CB222682A4826A65B31171_42</vt:lpwstr>
  </property>
</Properties>
</file>