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  <w:keepNext/>
        <w:keepLines/>
      </w:pPr>
      <w:r>
        <w:t>Unit 1 Lesson 4</w:t>
      </w:r>
    </w:p>
    <w:p w14:paraId="5AEA3C71" w14:textId="5433CF0C" w:rsidR="00650697" w:rsidRDefault="00650697" w:rsidP="00650697">
      <w:pPr>
        <w:pStyle w:val="Heading1"/>
        <w:keepNext/>
        <w:keepLines/>
      </w:pPr>
      <w:r>
        <w:t>Step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can the http module be imported without first installing it through npm?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roles do the request object and response object serve during one HTTP exchange?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a web server listen on a specific port before a browser can connect to it?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information is communicated by the response status code, headers, and body?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 the form’s action and method attributes determine where and how its data will be sent?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does the server need both the fs module and the correct content-type header to display an HTML file properly?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returning a 404 response better than returning the same successful response for every URL?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  <w:keepNext/>
        <w:keepLines/>
      </w:pPr>
      <w:r>
        <w:t>End-of-Lesson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Describe the complete process that occurs from the moment a user enters the server’s URL until the browser displays the response.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is the difference between returning plain text and returning an HTML file?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are HTTP status codes and content-type headers important even when the response appears correctly in the browser?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