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4 Lesson 3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AUX application have one internal user record even when that person can authenticate in more than one way?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email be used for matching cautiously while the Formbar user ID is used for the permanent link?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new Formbar fields allow existing local-only accounts to remain valid?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adding linking functions to the User Model keep the OAuth Controller focused on request flow rather than SQL?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could inconsistent email normalization prevent two identities belonging to the same person from matching?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an existing Formbar-ID link take priority over an email-address match?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evidence should the application use to recognize a returning linked Formbar user?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could automatic linking through an unverified email address create an account-takeover risk?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a Formbar-created local account not be assigned a shared or predictable default password?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should the database clearly distinguish an OAuth-only account from a local-password account?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account linking fail rather than guess when the database contains conflicting identity information?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storing one internal user ID make the rest of the AUX application independent of the login method used?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general route protection care that a valid local user exists rather than how that user originally authenticated?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account page distinguish local account data from Formbar-provided identity data?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the application distinguish a normal Formbar login from a request to link Formbar to the currently logged-in account?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must be true before a linked authentication method can be removed safely?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test most clearly proves that local and Formbar login now lead to the same internal AUX account?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does separating verified Formbar communication from local account database operations make the linking process safer and easier to maintain?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Trace an existing local account through Formbar login, email matching, database linking, session creation, and account display.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how this lesson uses the Create, Read, and Update portions of CRUD.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local user ID become the AUX application’s primary session identity after account linking?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