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07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02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10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October 2, 2026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1</w:t>
            </w:r>
          </w:p>
        </w:tc>
        <w:tc>
          <w:tcPr>
            <w:tcW w:w="1251" w:type="dxa"/>
          </w:tcPr>
          <w:p>
            <w:r>
              <w:t>7</w:t>
            </w:r>
          </w:p>
        </w:tc>
        <w:tc>
          <w:tcPr>
            <w:tcW w:w="1335" w:type="dxa"/>
          </w:tcPr>
          <w:p>
            <w:r>
              <w:t>2-Oct</w:t>
            </w:r>
          </w:p>
        </w:tc>
        <w:tc>
          <w:tcPr>
            <w:tcW w:w="966" w:type="dxa"/>
          </w:tcPr>
          <w:p>
            <w:r>
              <w:t>4.5</w:t>
            </w:r>
          </w:p>
        </w:tc>
        <w:tc>
          <w:tcPr>
            <w:tcW w:w="5536" w:type="dxa"/>
          </w:tcPr>
          <w:p>
            <w:r>
              <w:t>OAC Thursday</w:t>
              <w:br/>
              <w:t>2-Hour Delay Friday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Unit 2, Lesson 2, Endpoint Handling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Site Developer Associate Chapter 5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