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13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13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11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November 13, 2026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2</w:t>
            </w:r>
          </w:p>
        </w:tc>
        <w:tc>
          <w:tcPr>
            <w:tcW w:w="1251" w:type="dxa"/>
          </w:tcPr>
          <w:p>
            <w:r>
              <w:t>13</w:t>
            </w:r>
          </w:p>
        </w:tc>
        <w:tc>
          <w:tcPr>
            <w:tcW w:w="1335" w:type="dxa"/>
          </w:tcPr>
          <w:p>
            <w:r>
              <w:t>13-Nov</w:t>
            </w:r>
          </w:p>
        </w:tc>
        <w:tc>
          <w:tcPr>
            <w:tcW w:w="966" w:type="dxa"/>
          </w:tcPr>
          <w:p>
            <w:r>
              <w:t>3.5</w:t>
            </w:r>
          </w:p>
        </w:tc>
        <w:tc>
          <w:tcPr>
            <w:tcW w:w="5536" w:type="dxa"/>
          </w:tcPr>
          <w:p>
            <w:r>
              <w:t>Early Dismissal Thursday</w:t>
              <w:br/>
              <w:t>In-Service Friday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Unit 3, Lesson 3, Database Migrations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Site Developer Associate Chapter 9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