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22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22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01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January 22, 2027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3</w:t>
            </w:r>
          </w:p>
        </w:tc>
        <w:tc>
          <w:tcPr>
            <w:tcW w:w="1251" w:type="dxa"/>
          </w:tcPr>
          <w:p>
            <w:r>
              <w:t>22</w:t>
            </w:r>
          </w:p>
        </w:tc>
        <w:tc>
          <w:tcPr>
            <w:tcW w:w="1335" w:type="dxa"/>
          </w:tcPr>
          <w:p>
            <w:r>
              <w:t>22-Jan</w:t>
            </w:r>
          </w:p>
        </w:tc>
        <w:tc>
          <w:tcPr>
            <w:tcW w:w="966" w:type="dxa"/>
          </w:tcPr>
          <w:p>
            <w:r>
              <w:t>4</w:t>
            </w:r>
          </w:p>
        </w:tc>
        <w:tc>
          <w:tcPr>
            <w:tcW w:w="5536" w:type="dxa"/>
          </w:tcPr>
          <w:p>
            <w:r>
              <w:t>Closed Monday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Unit 4, Lesson 3, Account Linking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JavaScript Specialist Chapter 6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