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24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05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02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February 5,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3</w:t>
            </w:r>
          </w:p>
        </w:tc>
        <w:tc>
          <w:tcPr>
            <w:tcW w:w="1251" w:type="dxa"/>
          </w:tcPr>
          <w:p>
            <w:r>
              <w:t>24</w:t>
            </w:r>
          </w:p>
        </w:tc>
        <w:tc>
          <w:tcPr>
            <w:tcW w:w="1335" w:type="dxa"/>
          </w:tcPr>
          <w:p>
            <w:r>
              <w:t>5-Feb</w:t>
            </w:r>
          </w:p>
        </w:tc>
        <w:tc>
          <w:tcPr>
            <w:tcW w:w="966" w:type="dxa"/>
          </w:tcPr>
          <w:p>
            <w:r>
              <w:t>5</w:t>
            </w:r>
          </w:p>
        </w:tc>
        <w:tc>
          <w:tcPr>
            <w:tcW w:w="5536" w:type="dxa"/>
          </w:tcPr>
          <w:p>
            <w:r/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Unit 4, Lesson 5, Permission Handling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7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