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36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29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04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April 29,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4</w:t>
            </w:r>
          </w:p>
        </w:tc>
        <w:tc>
          <w:tcPr>
            <w:tcW w:w="1251" w:type="dxa"/>
          </w:tcPr>
          <w:p>
            <w:r>
              <w:t>36</w:t>
            </w:r>
          </w:p>
        </w:tc>
        <w:tc>
          <w:tcPr>
            <w:tcW w:w="1335" w:type="dxa"/>
          </w:tcPr>
          <w:p>
            <w:r>
              <w:t>29-Apr</w:t>
            </w:r>
          </w:p>
        </w:tc>
        <w:tc>
          <w:tcPr>
            <w:tcW w:w="966" w:type="dxa"/>
          </w:tcPr>
          <w:p>
            <w:r>
              <w:t>4</w:t>
            </w:r>
          </w:p>
        </w:tc>
        <w:tc>
          <w:tcPr>
            <w:tcW w:w="5536" w:type="dxa"/>
          </w:tcPr>
          <w:p>
            <w:r>
              <w:t>In-Service Friday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Company Projects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