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38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14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05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May 14, 2027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4</w:t>
            </w:r>
          </w:p>
        </w:tc>
        <w:tc>
          <w:tcPr>
            <w:tcW w:w="1251" w:type="dxa"/>
          </w:tcPr>
          <w:p>
            <w:r>
              <w:t>38</w:t>
            </w:r>
          </w:p>
        </w:tc>
        <w:tc>
          <w:tcPr>
            <w:tcW w:w="1335" w:type="dxa"/>
          </w:tcPr>
          <w:p>
            <w:r>
              <w:t>14-May</w:t>
            </w:r>
          </w:p>
        </w:tc>
        <w:tc>
          <w:tcPr>
            <w:tcW w:w="966" w:type="dxa"/>
          </w:tcPr>
          <w:p>
            <w:r>
              <w:t>5</w:t>
            </w:r>
          </w:p>
        </w:tc>
        <w:tc>
          <w:tcPr>
            <w:tcW w:w="5536" w:type="dxa"/>
          </w:tcPr>
          <w:p>
            <w:r/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Company Projects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