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aps/>
          <w:color w:val="5C6660"/>
          <w:sz w:val="19"/>
          <w:szCs w:val="19"/>
        </w:rPr>
        <w:t xml:space="preserve">BACKGROUND REPORT</w:t>
      </w:r>
    </w:p>
    <w:p>
      <w:pPr>
        <w:spacing w:after="140" w:before="0"/>
      </w:pPr>
      <w:r>
        <w:rPr>
          <w:rFonts w:ascii="Cambria" w:cs="Cambria" w:eastAsia="Cambria" w:hAnsi="Cambria"/>
          <w:b/>
          <w:bCs/>
          <w:color w:val="16332A"/>
          <w:sz w:val="32"/>
          <w:szCs w:val="32"/>
        </w:rPr>
        <w:t xml:space="preserve">Concepts, Methods and Literature Behind the Cross-Tissue Senescence Proposal</w:t>
      </w:r>
    </w:p>
    <w:p>
      <w:pPr>
        <w:spacing w:after="120" w:before="0" w:line="276"/>
      </w:pPr>
      <w:r>
        <w:rPr>
          <w:rFonts w:ascii="Calibri" w:cs="Calibri" w:eastAsia="Calibri" w:hAnsi="Calibri"/>
          <w:i/>
          <w:iCs/>
          <w:color w:val="5C6660"/>
          <w:sz w:val="21"/>
          <w:szCs w:val="21"/>
        </w:rPr>
        <w:t xml:space="preserve">A primer written to bring the reader up to speed on every concept the proposal assumes — senescence biology, the senotherapeutics gap, senescence gene sets, co-expression network analysis, the three machine learning algorithms, and the structural docking stage. Each section ends with why it matters for this specific study.</w:t>
      </w:r>
    </w:p>
    <w:p>
      <w:pPr>
        <w:spacing w:after="120" w:before="0" w:line="276"/>
      </w:pPr>
      <w:r>
        <w:rPr>
          <w:rFonts w:ascii="Calibri" w:cs="Calibri" w:eastAsia="Calibri" w:hAnsi="Calibri"/>
          <w:color w:val="5C6660"/>
          <w:sz w:val="19"/>
          <w:szCs w:val="19"/>
        </w:rPr>
        <w:t xml:space="preserve">Prepared by Juvas, B.Tech Biotechnology, VIT Vellore. Companion document to the research proposal for Dr. Kavitha Thirumurugan.</w:t>
      </w:r>
    </w:p>
    <w:p>
      <w:pPr>
        <w:pStyle w:val="Heading1"/>
        <w:pBdr>
          <w:bottom w:val="single" w:color="24503F" w:sz="6" w:space="4"/>
        </w:pBdr>
        <w:spacing w:after="130" w:before="300"/>
      </w:pPr>
      <w:r>
        <w:rPr>
          <w:rFonts w:ascii="Cambria" w:cs="Cambria" w:eastAsia="Cambria" w:hAnsi="Cambria"/>
          <w:b/>
          <w:bCs/>
          <w:color w:val="16332A"/>
          <w:sz w:val="27"/>
          <w:szCs w:val="27"/>
        </w:rPr>
        <w:t xml:space="preserve">Part 1 · The Biology</w:t>
      </w:r>
    </w:p>
    <w:p>
      <w:pPr>
        <w:pStyle w:val="Heading2"/>
        <w:spacing w:after="90" w:before="200"/>
      </w:pPr>
      <w:r>
        <w:rPr>
          <w:rFonts w:ascii="Cambria" w:cs="Cambria" w:eastAsia="Cambria" w:hAnsi="Cambria"/>
          <w:b/>
          <w:bCs/>
          <w:color w:val="24503F"/>
          <w:sz w:val="23"/>
          <w:szCs w:val="23"/>
        </w:rPr>
        <w:t xml:space="preserve">1.1 What cellular senescence actually is</w:t>
      </w:r>
    </w:p>
    <w:p>
      <w:pPr>
        <w:spacing w:after="120" w:before="0" w:line="276"/>
      </w:pPr>
      <w:r>
        <w:rPr>
          <w:rFonts w:ascii="Calibri" w:cs="Calibri" w:eastAsia="Calibri" w:hAnsi="Calibri"/>
          <w:color w:val="000000"/>
          <w:sz w:val="21"/>
          <w:szCs w:val="21"/>
        </w:rPr>
        <w:t xml:space="preserve">Cellular senescence is a stable, essentially irreversible arrest of the cell cycle that a cell enters in response to stress, rather than a passive wearing-out. Normal somatic cells divide a finite number of times; surveillance checkpoints halt division when the cell encounters oxidative stress from excess free radicals, oncogene-induced abnormalities, genotoxic stress, or telomere attrition. Crucially, the nature of the stress determines the outcome: transient stress pushes a cell toward quiescence (reversible), while persistent stress pushes it toward senescence (permanent) [1].</w:t>
      </w:r>
    </w:p>
    <w:p>
      <w:pPr>
        <w:spacing w:after="120" w:before="0" w:line="276"/>
      </w:pPr>
      <w:r>
        <w:rPr>
          <w:rFonts w:ascii="Calibri" w:cs="Calibri" w:eastAsia="Calibri" w:hAnsi="Calibri"/>
          <w:color w:val="000000"/>
          <w:sz w:val="21"/>
          <w:szCs w:val="21"/>
        </w:rPr>
        <w:t xml:space="preserve">This distinction matters because senescence was originally understood as protective — an anti-tumour mechanism that stops damaged cells from propagating. The problem is accumulation. Senescent cells build up in tissues with age and are not cleared efficiently, and because they remain metabolically active they continue to influence their neighbours [2].</w:t>
      </w:r>
    </w:p>
    <w:p>
      <w:pPr>
        <w:spacing w:after="70" w:before="150"/>
      </w:pPr>
      <w:r>
        <w:rPr>
          <w:rFonts w:ascii="Calibri" w:cs="Calibri" w:eastAsia="Calibri" w:hAnsi="Calibri"/>
          <w:b/>
          <w:bCs/>
          <w:color w:val="16332A"/>
          <w:sz w:val="21"/>
          <w:szCs w:val="21"/>
        </w:rPr>
        <w:t xml:space="preserve">The two canonical arrest pathways</w:t>
      </w:r>
    </w:p>
    <w:p>
      <w:pPr>
        <w:spacing w:after="120" w:before="0" w:line="276"/>
      </w:pPr>
      <w:r>
        <w:rPr>
          <w:rFonts w:ascii="Calibri" w:cs="Calibri" w:eastAsia="Calibri" w:hAnsi="Calibri"/>
          <w:color w:val="000000"/>
          <w:sz w:val="21"/>
          <w:szCs w:val="21"/>
        </w:rPr>
        <w:t xml:space="preserve">Two transcriptional programmes dominate the machinery that enforces arrest, and both appear repeatedly in this proposal:</w:t>
      </w:r>
    </w:p>
    <w:p>
      <w:pPr>
        <w:pStyle w:val="ListParagraph"/>
        <w:numPr>
          <w:ilvl w:val="0"/>
          <w:numId w:val="2"/>
        </w:numPr>
        <w:spacing w:after="80" w:before="0" w:line="276"/>
      </w:pPr>
      <w:r>
        <w:rPr>
          <w:rFonts w:ascii="Calibri" w:cs="Calibri" w:eastAsia="Calibri" w:hAnsi="Calibri"/>
          <w:b/>
          <w:bCs/>
          <w:color w:val="000000"/>
          <w:sz w:val="21"/>
          <w:szCs w:val="21"/>
        </w:rPr>
        <w:t xml:space="preserve">p53 / p21</w:t>
      </w:r>
      <w:r>
        <w:rPr>
          <w:rFonts w:ascii="Calibri" w:cs="Calibri" w:eastAsia="Calibri" w:hAnsi="Calibri"/>
          <w:color w:val="000000"/>
          <w:sz w:val="21"/>
          <w:szCs w:val="21"/>
        </w:rPr>
        <w:t xml:space="preserve">  (gene: </w:t>
      </w:r>
      <w:r>
        <w:rPr>
          <w:rFonts w:ascii="Calibri" w:cs="Calibri" w:eastAsia="Calibri" w:hAnsi="Calibri"/>
          <w:i/>
          <w:iCs/>
          <w:color w:val="000000"/>
          <w:sz w:val="21"/>
          <w:szCs w:val="21"/>
        </w:rPr>
        <w:t xml:space="preserve">CDKN1A</w:t>
      </w:r>
      <w:r>
        <w:rPr>
          <w:rFonts w:ascii="Calibri" w:cs="Calibri" w:eastAsia="Calibri" w:hAnsi="Calibri"/>
          <w:color w:val="000000"/>
          <w:sz w:val="21"/>
          <w:szCs w:val="21"/>
        </w:rPr>
        <w:t xml:space="preserve">) — the DNA-damage-responsive axis. p53 is pivotal in deciding whether a cell arrests or proliferates, acting through cyclin-dependent kinase inhibitors that repress CDKs [1].</w:t>
      </w:r>
    </w:p>
    <w:p>
      <w:pPr>
        <w:pStyle w:val="ListParagraph"/>
        <w:numPr>
          <w:ilvl w:val="0"/>
          <w:numId w:val="2"/>
        </w:numPr>
        <w:spacing w:after="80" w:before="0" w:line="276"/>
      </w:pPr>
      <w:r>
        <w:rPr>
          <w:rFonts w:ascii="Calibri" w:cs="Calibri" w:eastAsia="Calibri" w:hAnsi="Calibri"/>
          <w:b/>
          <w:bCs/>
          <w:color w:val="000000"/>
          <w:sz w:val="21"/>
          <w:szCs w:val="21"/>
        </w:rPr>
        <w:t xml:space="preserve">p16</w:t>
      </w:r>
      <w:r>
        <w:rPr>
          <w:rFonts w:ascii="Calibri" w:cs="Calibri" w:eastAsia="Calibri" w:hAnsi="Calibri"/>
          <w:b/>
          <w:bCs/>
          <w:sz w:val="21"/>
          <w:szCs w:val="21"/>
        </w:rPr>
        <w:t xml:space="preserve">INK4a</w:t>
      </w:r>
      <w:r>
        <w:rPr>
          <w:rFonts w:ascii="Calibri" w:cs="Calibri" w:eastAsia="Calibri" w:hAnsi="Calibri"/>
          <w:b/>
          <w:bCs/>
          <w:color w:val="000000"/>
          <w:sz w:val="21"/>
          <w:szCs w:val="21"/>
        </w:rPr>
        <w:t xml:space="preserve"> / Rb</w:t>
      </w:r>
      <w:r>
        <w:rPr>
          <w:rFonts w:ascii="Calibri" w:cs="Calibri" w:eastAsia="Calibri" w:hAnsi="Calibri"/>
          <w:color w:val="000000"/>
          <w:sz w:val="21"/>
          <w:szCs w:val="21"/>
        </w:rPr>
        <w:t xml:space="preserve">  (gene: </w:t>
      </w:r>
      <w:r>
        <w:rPr>
          <w:rFonts w:ascii="Calibri" w:cs="Calibri" w:eastAsia="Calibri" w:hAnsi="Calibri"/>
          <w:i/>
          <w:iCs/>
          <w:color w:val="000000"/>
          <w:sz w:val="21"/>
          <w:szCs w:val="21"/>
        </w:rPr>
        <w:t xml:space="preserve">CDKN2A</w:t>
      </w:r>
      <w:r>
        <w:rPr>
          <w:rFonts w:ascii="Calibri" w:cs="Calibri" w:eastAsia="Calibri" w:hAnsi="Calibri"/>
          <w:color w:val="000000"/>
          <w:sz w:val="21"/>
          <w:szCs w:val="21"/>
        </w:rPr>
        <w:t xml:space="preserve">) — the retinoblastoma tumour-suppressor axis. Inactivating either p53 or p16 extends the lifespan of various cell types independently of telomere shortening [3].</w:t>
      </w:r>
    </w:p>
    <w:p>
      <w:pPr>
        <w:spacing w:after="120" w:before="0" w:line="276"/>
      </w:pPr>
      <w:r>
        <w:rPr>
          <w:rFonts w:ascii="Calibri" w:cs="Calibri" w:eastAsia="Calibri" w:hAnsi="Calibri"/>
          <w:color w:val="000000"/>
          <w:sz w:val="21"/>
          <w:szCs w:val="21"/>
        </w:rPr>
        <w:t xml:space="preserve">A useful framing from the literature contrasts three cellular responses to stress: autophagy as a fighting reaction, senescence as an adaptation reaction, and apoptosis as a surrendering reaction. Senescent cells are notably resistant to apoptosis, and inhibiting autophagy accelerates senescence [3] — which is precisely why Dr. Thirumurugan's autophagy work and her senescence work are two faces of one problem.</w:t>
      </w:r>
    </w:p>
    <w:p>
      <w:pPr>
        <w:pStyle w:val="Heading2"/>
        <w:spacing w:after="90" w:before="200"/>
      </w:pPr>
      <w:r>
        <w:rPr>
          <w:rFonts w:ascii="Cambria" w:cs="Cambria" w:eastAsia="Cambria" w:hAnsi="Cambria"/>
          <w:b/>
          <w:bCs/>
          <w:color w:val="24503F"/>
          <w:sz w:val="23"/>
          <w:szCs w:val="23"/>
        </w:rPr>
        <w:t xml:space="preserve">1.2 SASP — why senescent cells are actively harmful</w:t>
      </w:r>
    </w:p>
    <w:p>
      <w:pPr>
        <w:spacing w:after="120" w:before="0" w:line="276"/>
      </w:pPr>
      <w:r>
        <w:rPr>
          <w:rFonts w:ascii="Calibri" w:cs="Calibri" w:eastAsia="Calibri" w:hAnsi="Calibri"/>
          <w:color w:val="000000"/>
          <w:sz w:val="21"/>
          <w:szCs w:val="21"/>
        </w:rPr>
        <w:t xml:space="preserve">The senescence-associated secretory phenotype (SASP) is what turns senescence from a local problem into a tissue-level one. Senescent cells secrete a tissue-specific mix of growth factors, cytokines, chemokines, proteases, shed receptors and ligands, and extracellular vesicles, and this secretome progresses over time [4].</w:t>
      </w:r>
    </w:p>
    <w:p>
      <w:pPr>
        <w:spacing w:after="120" w:before="0" w:line="276"/>
      </w:pPr>
      <w:r>
        <w:rPr>
          <w:rFonts w:ascii="Calibri" w:cs="Calibri" w:eastAsia="Calibri" w:hAnsi="Calibri"/>
          <w:color w:val="000000"/>
          <w:sz w:val="21"/>
          <w:szCs w:val="21"/>
        </w:rPr>
        <w:t xml:space="preserve">Two features make SASP mechanistically important. First, it is self-amplifying: IL-6 acts directly on every neighbouring cell expressing the IL-6 receptor; IL-1α and IL-1β trigger NF-κB activation and in turn regulate IL-6 and IL-8. Because IL-6, IL-1, ROS, VEGF, CCL2 and TGF-β can each induce senescence, senescent cells can cause more senescence — paracrine spread [3]. Second, DNA damage signalling during senescence activates the cytoplasmic DNA-sensing cGAS–STING pathway, which is itself essential for the SASP programme [4].</w:t>
      </w:r>
    </w:p>
    <w:p>
      <w:pPr>
        <w:pBdr>
          <w:top w:val="single" w:color="D8DED6" w:sz="4" w:space="6"/>
          <w:left w:val="single" w:color="D8DED6" w:sz="4" w:space="6"/>
          <w:right w:val="single" w:color="D8DED6" w:sz="4" w:space="6"/>
        </w:pBdr>
        <w:shd w:fill="EFF2EE" w:color="auto" w:val="clear"/>
        <w:spacing w:after="0" w:before="140"/>
      </w:pPr>
      <w:r>
        <w:rPr>
          <w:rFonts w:ascii="Calibri" w:cs="Calibri" w:eastAsia="Calibri" w:hAnsi="Calibri"/>
          <w:b/>
          <w:bCs/>
          <w:color w:val="16332A"/>
          <w:sz w:val="20"/>
          <w:szCs w:val="20"/>
        </w:rPr>
        <w:t xml:space="preserve">Why this matters for the proposal</w:t>
      </w:r>
    </w:p>
    <w:p>
      <w:pPr>
        <w:pBdr>
          <w:bottom w:val="single" w:color="D8DED6" w:sz="4" w:space="6"/>
          <w:left w:val="single" w:color="D8DED6" w:sz="4" w:space="6"/>
          <w:right w:val="single" w:color="D8DED6" w:sz="4" w:space="6"/>
        </w:pBdr>
        <w:shd w:fill="EFF2EE" w:color="auto" w:val="clear"/>
        <w:spacing w:after="140" w:before="60"/>
      </w:pPr>
      <w:r>
        <w:rPr>
          <w:rFonts w:ascii="Calibri" w:cs="Calibri" w:eastAsia="Calibri" w:hAnsi="Calibri"/>
          <w:color w:val="1F2420"/>
          <w:sz w:val="20"/>
          <w:szCs w:val="20"/>
        </w:rPr>
        <w:t xml:space="preserve">SASP genes are heavily represented in the senescence gene sets used in Stage 2 of the pipeline. If a hub gene emerges that sits in the SASP arm rather than the arrest arm, the therapeutic logic changes — a senomorph (suppressing the secretome) rather than a senolytic (killing the cell) becomes the rational intervention.</w:t>
      </w:r>
    </w:p>
    <w:p>
      <w:pPr>
        <w:pStyle w:val="Heading2"/>
        <w:spacing w:after="90" w:before="200"/>
      </w:pPr>
      <w:r>
        <w:rPr>
          <w:rFonts w:ascii="Cambria" w:cs="Cambria" w:eastAsia="Cambria" w:hAnsi="Cambria"/>
          <w:b/>
          <w:bCs/>
          <w:color w:val="24503F"/>
          <w:sz w:val="23"/>
          <w:szCs w:val="23"/>
        </w:rPr>
        <w:t xml:space="preserve">1.3 Senotherapeutics: senolytics versus senomorphs</w:t>
      </w:r>
    </w:p>
    <w:p>
      <w:pPr>
        <w:spacing w:after="120" w:before="0" w:line="276"/>
      </w:pPr>
      <w:r>
        <w:rPr>
          <w:rFonts w:ascii="Calibri" w:cs="Calibri" w:eastAsia="Calibri" w:hAnsi="Calibri"/>
          <w:color w:val="000000"/>
          <w:sz w:val="21"/>
          <w:szCs w:val="21"/>
        </w:rPr>
        <w:t xml:space="preserve">Senotherapeutics are pharmacological interventions that target senescent cells to combat aging and age-related disorders including cancer, HIV, diabetes and neurodegenerative disease. They divide into senolytics, which selectively eliminate senescent cells, and senostatics or senomorphs, which suppress the senescent phenotype without killing the cell. Both natural and synthetic compounds are in play, and the field sits squarely in the geroscience arena [5].</w:t>
      </w:r>
    </w:p>
    <w:p>
      <w:pPr>
        <w:spacing w:after="120" w:before="0" w:line="276"/>
      </w:pPr>
      <w:r>
        <w:rPr>
          <w:rFonts w:ascii="Calibri" w:cs="Calibri" w:eastAsia="Calibri" w:hAnsi="Calibri"/>
          <w:color w:val="000000"/>
          <w:sz w:val="21"/>
          <w:szCs w:val="21"/>
        </w:rPr>
        <w:t xml:space="preserve">The mechanistic handle for senolytics is that senescent cells depend on senescent-cell anti-apoptotic pathways (SCAPs) to survive despite their damage. Drugs that disrupt SCAPs kill senescent cells selectively, reducing SASP burden [6].</w:t>
      </w:r>
    </w:p>
    <w:p>
      <w:pPr>
        <w:pBdr>
          <w:top w:val="single" w:color="D8DED6" w:sz="4" w:space="6"/>
          <w:left w:val="single" w:color="D8DED6" w:sz="4" w:space="6"/>
          <w:right w:val="single" w:color="D8DED6" w:sz="4" w:space="6"/>
        </w:pBdr>
        <w:shd w:fill="EFF2EE" w:color="auto" w:val="clear"/>
        <w:spacing w:after="0" w:before="140"/>
      </w:pPr>
      <w:r>
        <w:rPr>
          <w:rFonts w:ascii="Calibri" w:cs="Calibri" w:eastAsia="Calibri" w:hAnsi="Calibri"/>
          <w:b/>
          <w:bCs/>
          <w:color w:val="16332A"/>
          <w:sz w:val="20"/>
          <w:szCs w:val="20"/>
        </w:rPr>
        <w:t xml:space="preserve">The gap this proposal targets</w:t>
      </w:r>
    </w:p>
    <w:p>
      <w:pPr>
        <w:pBdr>
          <w:bottom w:val="single" w:color="D8DED6" w:sz="4" w:space="6"/>
          <w:left w:val="single" w:color="D8DED6" w:sz="4" w:space="6"/>
          <w:right w:val="single" w:color="D8DED6" w:sz="4" w:space="6"/>
        </w:pBdr>
        <w:shd w:fill="EFF2EE" w:color="auto" w:val="clear"/>
        <w:spacing w:after="140" w:before="60"/>
      </w:pPr>
      <w:r>
        <w:rPr>
          <w:rFonts w:ascii="Calibri" w:cs="Calibri" w:eastAsia="Calibri" w:hAnsi="Calibri"/>
          <w:color w:val="1F2420"/>
          <w:sz w:val="20"/>
          <w:szCs w:val="20"/>
        </w:rPr>
        <w:t xml:space="preserve">Dr. Thirumurugan's own review states the field's blocking problem directly: translating senotherapeutics from bench to bedside is hampered by the absence of specific biomarkers, gaps in integrating molecular mechanisms, and inadequate therapeutic drugs [5]. This proposal is a biomarker-discovery study aimed at exactly that first obstacle.</w:t>
      </w:r>
    </w:p>
    <w:p>
      <w:pPr>
        <w:pStyle w:val="Heading2"/>
        <w:spacing w:after="90" w:before="200"/>
      </w:pPr>
      <w:r>
        <w:rPr>
          <w:rFonts w:ascii="Cambria" w:cs="Cambria" w:eastAsia="Cambria" w:hAnsi="Cambria"/>
          <w:b/>
          <w:bCs/>
          <w:color w:val="24503F"/>
          <w:sz w:val="23"/>
          <w:szCs w:val="23"/>
        </w:rPr>
        <w:t xml:space="preserve">1.4 Senescence in Type 2 Diabetes — two tissues, one disease</w:t>
      </w:r>
    </w:p>
    <w:p>
      <w:pPr>
        <w:spacing w:after="120" w:before="0" w:line="276"/>
      </w:pPr>
      <w:r>
        <w:rPr>
          <w:rFonts w:ascii="Calibri" w:cs="Calibri" w:eastAsia="Calibri" w:hAnsi="Calibri"/>
          <w:color w:val="000000"/>
          <w:sz w:val="21"/>
          <w:szCs w:val="21"/>
        </w:rPr>
        <w:t xml:space="preserve">T2DM is where senescence stops being a general aging story and becomes organ-specific pathology. Metabolic stressors — aging, obesity, chronic hyperglycaemia, oxidative stress and mitochondrial dysfunction — drive senescent-cell accumulation in adipose tissue, liver and pancreatic β-cells. Persistent SASP signalling then produces chronic low-grade inflammation, disrupts insulin receptor substrate-1 (IRS-1) signalling, impairs adipocyte function, promotes hepatic gluconeogenesis and accelerates β-cell dysfunction [6].</w:t>
      </w:r>
    </w:p>
    <w:p>
      <w:pPr>
        <w:spacing w:after="70" w:before="150"/>
      </w:pPr>
      <w:r>
        <w:rPr>
          <w:rFonts w:ascii="Calibri" w:cs="Calibri" w:eastAsia="Calibri" w:hAnsi="Calibri"/>
          <w:b/>
          <w:bCs/>
          <w:color w:val="16332A"/>
          <w:sz w:val="21"/>
          <w:szCs w:val="21"/>
        </w:rPr>
        <w:t xml:space="preserve">Pancreatic β-cells</w:t>
      </w:r>
    </w:p>
    <w:p>
      <w:pPr>
        <w:spacing w:after="120" w:before="0" w:line="276"/>
      </w:pPr>
      <w:r>
        <w:rPr>
          <w:rFonts w:ascii="Calibri" w:cs="Calibri" w:eastAsia="Calibri" w:hAnsi="Calibri"/>
          <w:color w:val="000000"/>
          <w:sz w:val="21"/>
          <w:szCs w:val="21"/>
        </w:rPr>
        <w:t xml:space="preserve">Human evidence, not just animal data, supports this. In postmenopausal cohorts, T-cell expression of p16 and p21 was elevated in T2DM participants but not in obese non-diabetic participants matched for BMI — separating a diabetes effect from an obesity effect. Expression of both markers correlated positively with HbA1c and with skin advanced glycation end-products, and T2DM was associated with increases in a number of SASP factors [7].</w:t>
      </w:r>
    </w:p>
    <w:p>
      <w:pPr>
        <w:spacing w:after="120" w:before="0" w:line="276"/>
      </w:pPr>
      <w:r>
        <w:rPr>
          <w:rFonts w:ascii="Calibri" w:cs="Calibri" w:eastAsia="Calibri" w:hAnsi="Calibri"/>
          <w:color w:val="000000"/>
          <w:sz w:val="21"/>
          <w:szCs w:val="21"/>
        </w:rPr>
        <w:t xml:space="preserve">At single-cell resolution the picture sharpens further: a Cdkn1a-positive (p21-positive) β-cell subpopulation shows a significantly higher β-cell senescence score with elevated Il1b, Plaur, Gdf15 and Fgf1, and drives paracrine secondary senescence in surrounding islet tissue [8].</w:t>
      </w:r>
    </w:p>
    <w:p>
      <w:pPr>
        <w:spacing w:after="70" w:before="150"/>
      </w:pPr>
      <w:r>
        <w:rPr>
          <w:rFonts w:ascii="Calibri" w:cs="Calibri" w:eastAsia="Calibri" w:hAnsi="Calibri"/>
          <w:b/>
          <w:bCs/>
          <w:color w:val="16332A"/>
          <w:sz w:val="21"/>
          <w:szCs w:val="21"/>
        </w:rPr>
        <w:t xml:space="preserve">Adipose tissue</w:t>
      </w:r>
    </w:p>
    <w:p>
      <w:pPr>
        <w:spacing w:after="120" w:before="0" w:line="276"/>
      </w:pPr>
      <w:r>
        <w:rPr>
          <w:rFonts w:ascii="Calibri" w:cs="Calibri" w:eastAsia="Calibri" w:hAnsi="Calibri"/>
          <w:color w:val="000000"/>
          <w:sz w:val="21"/>
          <w:szCs w:val="21"/>
        </w:rPr>
        <w:t xml:space="preserve">Adipose tissue is both an energy reservoir and an endocrine organ, and it plays a pivotal role in age-related metabolic dysfunction. With aging, adipocyte progenitor function declines and senescent cells accumulate, which is a likely source of aging-associated inflammation and contributes to insulin resistance, abnormal lipid deposition and chronic inflammation [9].</w:t>
      </w:r>
    </w:p>
    <w:p>
      <w:pPr>
        <w:pBdr>
          <w:top w:val="single" w:color="D8DED6" w:sz="4" w:space="6"/>
          <w:left w:val="single" w:color="D8DED6" w:sz="4" w:space="6"/>
          <w:right w:val="single" w:color="D8DED6" w:sz="4" w:space="6"/>
        </w:pBdr>
        <w:shd w:fill="EFF2EE" w:color="auto" w:val="clear"/>
        <w:spacing w:after="0" w:before="140"/>
      </w:pPr>
      <w:r>
        <w:rPr>
          <w:rFonts w:ascii="Calibri" w:cs="Calibri" w:eastAsia="Calibri" w:hAnsi="Calibri"/>
          <w:b/>
          <w:bCs/>
          <w:color w:val="16332A"/>
          <w:sz w:val="20"/>
          <w:szCs w:val="20"/>
        </w:rPr>
        <w:t xml:space="preserve">The unanswered question</w:t>
      </w:r>
    </w:p>
    <w:p>
      <w:pPr>
        <w:pBdr>
          <w:bottom w:val="single" w:color="D8DED6" w:sz="4" w:space="6"/>
          <w:left w:val="single" w:color="D8DED6" w:sz="4" w:space="6"/>
          <w:right w:val="single" w:color="D8DED6" w:sz="4" w:space="6"/>
        </w:pBdr>
        <w:shd w:fill="EFF2EE" w:color="auto" w:val="clear"/>
        <w:spacing w:after="140" w:before="60"/>
      </w:pPr>
      <w:r>
        <w:rPr>
          <w:rFonts w:ascii="Calibri" w:cs="Calibri" w:eastAsia="Calibri" w:hAnsi="Calibri"/>
          <w:color w:val="1F2420"/>
          <w:sz w:val="20"/>
          <w:szCs w:val="20"/>
        </w:rPr>
        <w:t xml:space="preserve">Both tissues independently accumulate senescent cells and both contribute to T2DM. Nobody has asked whether the underlying senescence gene programme is the same in both, or whether each organ runs its own. That is the question this proposal exists to answer.</w:t>
      </w:r>
    </w:p>
    <w:p>
      <w:pPr>
        <w:pStyle w:val="Heading2"/>
        <w:spacing w:after="90" w:before="200"/>
      </w:pPr>
      <w:r>
        <w:rPr>
          <w:rFonts w:ascii="Cambria" w:cs="Cambria" w:eastAsia="Cambria" w:hAnsi="Cambria"/>
          <w:b/>
          <w:bCs/>
          <w:color w:val="24503F"/>
          <w:sz w:val="23"/>
          <w:szCs w:val="23"/>
        </w:rPr>
        <w:t xml:space="preserve">1.5 The phytocompounds</w:t>
      </w:r>
    </w:p>
    <w:p>
      <w:pPr>
        <w:spacing w:after="120" w:before="0" w:line="276"/>
      </w:pPr>
      <w:r>
        <w:rPr>
          <w:rFonts w:ascii="Calibri" w:cs="Calibri" w:eastAsia="Calibri" w:hAnsi="Calibri"/>
          <w:color w:val="000000"/>
          <w:sz w:val="21"/>
          <w:szCs w:val="21"/>
        </w:rPr>
        <w:t xml:space="preserve">The docking panel is drawn entirely from compounds Dr. Thirumurugan's lab has already worked with, which is what makes downstream validation realistic: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5850"/>
      </w:tblGrid>
      <w:tr>
        <w:trPr>
          <w:cantSplit/>
          <w:tblHeader/>
        </w:trPr>
        <w:tc>
          <w:tcPr>
            <w:tcW w:type="dxa" w:w="1900"/>
            <w:shd w:fill="16332A" w:color="auto" w:val="clear"/>
            <w:tcMar>
              <w:top w:type="dxa" w:w="80"/>
              <w:left w:type="dxa" w:w="100"/>
              <w:bottom w:type="dxa" w:w="80"/>
              <w:right w:type="dxa" w:w="100"/>
            </w:tcMar>
            <w:vAlign w:val="center"/>
          </w:tcPr>
          <w:p>
            <w:pPr>
              <w:spacing w:after="0" w:before="0" w:line="258"/>
            </w:pPr>
            <w:r>
              <w:rPr>
                <w:rFonts w:ascii="Calibri" w:cs="Calibri" w:eastAsia="Calibri" w:hAnsi="Calibri"/>
                <w:b/>
                <w:bCs/>
                <w:color w:val="FFFFFF"/>
                <w:sz w:val="19"/>
                <w:szCs w:val="19"/>
              </w:rPr>
              <w:t xml:space="preserve">Compound</w:t>
            </w:r>
          </w:p>
        </w:tc>
        <w:tc>
          <w:tcPr>
            <w:tcW w:type="dxa" w:w="1600"/>
            <w:shd w:fill="16332A" w:color="auto" w:val="clear"/>
            <w:tcMar>
              <w:top w:type="dxa" w:w="80"/>
              <w:left w:type="dxa" w:w="100"/>
              <w:bottom w:type="dxa" w:w="80"/>
              <w:right w:type="dxa" w:w="100"/>
            </w:tcMar>
            <w:vAlign w:val="center"/>
          </w:tcPr>
          <w:p>
            <w:pPr>
              <w:spacing w:after="0" w:before="0" w:line="258"/>
            </w:pPr>
            <w:r>
              <w:rPr>
                <w:rFonts w:ascii="Calibri" w:cs="Calibri" w:eastAsia="Calibri" w:hAnsi="Calibri"/>
                <w:b/>
                <w:bCs/>
                <w:color w:val="FFFFFF"/>
                <w:sz w:val="19"/>
                <w:szCs w:val="19"/>
              </w:rPr>
              <w:t xml:space="preserve">Class</w:t>
            </w:r>
          </w:p>
        </w:tc>
        <w:tc>
          <w:tcPr>
            <w:tcW w:type="dxa" w:w="5850"/>
            <w:shd w:fill="16332A" w:color="auto" w:val="clear"/>
            <w:tcMar>
              <w:top w:type="dxa" w:w="80"/>
              <w:left w:type="dxa" w:w="100"/>
              <w:bottom w:type="dxa" w:w="80"/>
              <w:right w:type="dxa" w:w="100"/>
            </w:tcMar>
            <w:vAlign w:val="center"/>
          </w:tcPr>
          <w:p>
            <w:pPr>
              <w:spacing w:after="0" w:before="0" w:line="258"/>
            </w:pPr>
            <w:r>
              <w:rPr>
                <w:rFonts w:ascii="Calibri" w:cs="Calibri" w:eastAsia="Calibri" w:hAnsi="Calibri"/>
                <w:b/>
                <w:bCs/>
                <w:color w:val="FFFFFF"/>
                <w:sz w:val="19"/>
                <w:szCs w:val="19"/>
              </w:rPr>
              <w:t xml:space="preserve">Relevance</w:t>
            </w:r>
          </w:p>
        </w:tc>
      </w:tr>
      <w:tr>
        <w:trPr>
          <w:cantSplit/>
        </w:trPr>
        <w:tc>
          <w:tcPr>
            <w:tcW w:type="dxa" w:w="1900"/>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Naringenin</w:t>
            </w:r>
          </w:p>
        </w:tc>
        <w:tc>
          <w:tcPr>
            <w:tcW w:type="dxa" w:w="1600"/>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Flavanone</w:t>
            </w:r>
          </w:p>
        </w:tc>
        <w:tc>
          <w:tcPr>
            <w:tcW w:type="dxa" w:w="5850"/>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The lab's flagship compound; studied for autophagy modulation, insulin sensitivity, α-glucosidase inhibition, and dose- and context-dependent hormetic effects on Drosophila lifespan</w:t>
            </w:r>
          </w:p>
        </w:tc>
      </w:tr>
      <w:tr>
        <w:trPr>
          <w:cantSplit/>
        </w:trPr>
        <w:tc>
          <w:tcPr>
            <w:tcW w:type="dxa" w:w="1900"/>
            <w:shd w:fill="EFF2EE" w:color="auto" w:val="clear"/>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Embelin</w:t>
            </w:r>
          </w:p>
        </w:tc>
        <w:tc>
          <w:tcPr>
            <w:tcW w:type="dxa" w:w="1600"/>
            <w:shd w:fill="EFF2EE" w:color="auto" w:val="clear"/>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Benzoquinone</w:t>
            </w:r>
          </w:p>
        </w:tc>
        <w:tc>
          <w:tcPr>
            <w:tcW w:type="dxa" w:w="5850"/>
            <w:shd w:fill="EFF2EE" w:color="auto" w:val="clear"/>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The phytocompound in the lab's 2026 COL6A3 paper; proposed to act via Integrin–FAK–PI3K signalling, altering BAX and BCL2 levels [10]</w:t>
            </w:r>
          </w:p>
        </w:tc>
      </w:tr>
      <w:tr>
        <w:trPr>
          <w:cantSplit/>
        </w:trPr>
        <w:tc>
          <w:tcPr>
            <w:tcW w:type="dxa" w:w="1900"/>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Lipoic acid–sesamol conjugate</w:t>
            </w:r>
          </w:p>
        </w:tc>
        <w:tc>
          <w:tcPr>
            <w:tcW w:type="dxa" w:w="1600"/>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Synthetic conjugate</w:t>
            </w:r>
          </w:p>
        </w:tc>
        <w:tc>
          <w:tcPr>
            <w:tcW w:type="dxa" w:w="5850"/>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Synthesised in-house and evaluated as an anti-aging chemical conjugate in Drosophila</w:t>
            </w:r>
          </w:p>
        </w:tc>
      </w:tr>
      <w:tr>
        <w:trPr>
          <w:cantSplit/>
        </w:trPr>
        <w:tc>
          <w:tcPr>
            <w:tcW w:type="dxa" w:w="1900"/>
            <w:shd w:fill="EFF2EE" w:color="auto" w:val="clear"/>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Rutin</w:t>
            </w:r>
          </w:p>
        </w:tc>
        <w:tc>
          <w:tcPr>
            <w:tcW w:type="dxa" w:w="1600"/>
            <w:shd w:fill="EFF2EE" w:color="auto" w:val="clear"/>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Flavonol glycoside</w:t>
            </w:r>
          </w:p>
        </w:tc>
        <w:tc>
          <w:tcPr>
            <w:tcW w:type="dxa" w:w="5850"/>
            <w:shd w:fill="EFF2EE" w:color="auto" w:val="clear"/>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A quercetin–rutinose conjugate abundant in citrus and buckwheat; studied by the lab as a hormetin — beneficial at low dose, detrimental at high dose</w:t>
            </w:r>
          </w:p>
        </w:tc>
      </w:tr>
    </w:tbl>
    <w:p>
      <w:pPr>
        <w:spacing w:after="120" w:before="0" w:line="276"/>
      </w:pPr>
      <w:r>
        <w:rPr>
          <w:rFonts w:ascii="Calibri" w:cs="Calibri" w:eastAsia="Calibri" w:hAnsi="Calibri"/>
          <w:i/>
          <w:iCs/>
          <w:color w:val="5C6660"/>
          <w:sz w:val="20"/>
          <w:szCs w:val="20"/>
        </w:rPr>
        <w:t xml:space="preserve">The hormesis theme is worth noting because it recurs across the lab's work: many compounds that extend lifespan in model organisms do so by mediating hormesis, and naringenin specifically shows context- and dose-dependent effects that vary with gender, diet and lifecycle stage.</w:t>
      </w:r>
    </w:p>
    <w:p>
      <w:pPr>
        <w:pStyle w:val="Heading1"/>
        <w:pBdr>
          <w:bottom w:val="single" w:color="24503F" w:sz="6" w:space="4"/>
        </w:pBdr>
        <w:spacing w:after="130" w:before="300"/>
      </w:pPr>
      <w:r>
        <w:rPr>
          <w:rFonts w:ascii="Cambria" w:cs="Cambria" w:eastAsia="Cambria" w:hAnsi="Cambria"/>
          <w:b/>
          <w:bCs/>
          <w:color w:val="16332A"/>
          <w:sz w:val="27"/>
          <w:szCs w:val="27"/>
        </w:rPr>
        <w:t xml:space="preserve">Part 2 · The Computational Methods</w:t>
      </w:r>
    </w:p>
    <w:p>
      <w:pPr>
        <w:pStyle w:val="Heading2"/>
        <w:spacing w:after="90" w:before="200"/>
      </w:pPr>
      <w:r>
        <w:rPr>
          <w:rFonts w:ascii="Cambria" w:cs="Cambria" w:eastAsia="Cambria" w:hAnsi="Cambria"/>
          <w:b/>
          <w:bCs/>
          <w:color w:val="24503F"/>
          <w:sz w:val="23"/>
          <w:szCs w:val="23"/>
        </w:rPr>
        <w:t xml:space="preserve">2.1 Gene Expression Omnibus (GEO) and why metadata verification matters</w:t>
      </w:r>
    </w:p>
    <w:p>
      <w:pPr>
        <w:spacing w:after="120" w:before="0" w:line="276"/>
      </w:pPr>
      <w:r>
        <w:rPr>
          <w:rFonts w:ascii="Calibri" w:cs="Calibri" w:eastAsia="Calibri" w:hAnsi="Calibri"/>
          <w:color w:val="000000"/>
          <w:sz w:val="21"/>
          <w:szCs w:val="21"/>
        </w:rPr>
        <w:t xml:space="preserve">GEO is NCBI's public repository of functional genomics data. Each study gets a GSE accession, each sample a GSM accession, and each measurement platform a GPL accession. Reusing public GEO data is standard practice, but the accession alone tells you nothing about cohort size, tissue, or platform — all of which must be read off the record itself.</w:t>
      </w:r>
    </w:p>
    <w:p>
      <w:pPr>
        <w:pBdr>
          <w:top w:val="single" w:color="D8DED6" w:sz="4" w:space="6"/>
          <w:left w:val="single" w:color="D8DED6" w:sz="4" w:space="6"/>
          <w:right w:val="single" w:color="D8DED6" w:sz="4" w:space="6"/>
        </w:pBdr>
        <w:shd w:fill="EFF2EE" w:color="auto" w:val="clear"/>
        <w:spacing w:after="0" w:before="140"/>
      </w:pPr>
      <w:r>
        <w:rPr>
          <w:rFonts w:ascii="Calibri" w:cs="Calibri" w:eastAsia="Calibri" w:hAnsi="Calibri"/>
          <w:b/>
          <w:bCs/>
          <w:color w:val="16332A"/>
          <w:sz w:val="20"/>
          <w:szCs w:val="20"/>
        </w:rPr>
        <w:t xml:space="preserve">A worked example from this project's own history</w:t>
      </w:r>
    </w:p>
    <w:p>
      <w:pPr>
        <w:pBdr>
          <w:bottom w:val="single" w:color="D8DED6" w:sz="4" w:space="6"/>
          <w:left w:val="single" w:color="D8DED6" w:sz="4" w:space="6"/>
          <w:right w:val="single" w:color="D8DED6" w:sz="4" w:space="6"/>
        </w:pBdr>
        <w:shd w:fill="EFF2EE" w:color="auto" w:val="clear"/>
        <w:spacing w:after="140" w:before="60"/>
      </w:pPr>
      <w:r>
        <w:rPr>
          <w:rFonts w:ascii="Calibri" w:cs="Calibri" w:eastAsia="Calibri" w:hAnsi="Calibri"/>
          <w:color w:val="1F2420"/>
          <w:sz w:val="20"/>
          <w:szCs w:val="20"/>
        </w:rPr>
        <w:t xml:space="preserve">An earlier draft of this proposal assigned GSE25724 a cohort of 57 non-diabetic and 20 T2D samples. The actual record contains 13 islet samples — 7 non-diabetic and 6 T2D — on the GPL96 HG-U133A array [11]. The figures had been transposed from GSE41762, which genuinely holds 77 samples (57 non-diabetic, 20 diabetic) [12]. Because WGCNA requires enough samples to fit a stable scale-free topology, this was not a cosmetic error: it would have meant running network construction on a dataset roughly six times smaller than assumed. The dataset roles were reassigned accordingly.</w:t>
      </w:r>
    </w:p>
    <w:p>
      <w:pPr>
        <w:pStyle w:val="Heading2"/>
        <w:spacing w:after="90" w:before="200"/>
      </w:pPr>
      <w:r>
        <w:rPr>
          <w:rFonts w:ascii="Cambria" w:cs="Cambria" w:eastAsia="Cambria" w:hAnsi="Cambria"/>
          <w:b/>
          <w:bCs/>
          <w:color w:val="24503F"/>
          <w:sz w:val="23"/>
          <w:szCs w:val="23"/>
        </w:rPr>
        <w:t xml:space="preserve">2.2 Senescence gene sets — the filter that makes this a senescence study</w:t>
      </w:r>
    </w:p>
    <w:p>
      <w:pPr>
        <w:spacing w:after="120" w:before="0" w:line="276"/>
      </w:pPr>
      <w:r>
        <w:rPr>
          <w:rFonts w:ascii="Calibri" w:cs="Calibri" w:eastAsia="Calibri" w:hAnsi="Calibri"/>
          <w:color w:val="000000"/>
          <w:sz w:val="21"/>
          <w:szCs w:val="21"/>
        </w:rPr>
        <w:t xml:space="preserve">Identifying senescent cells reliably is a genuinely hard problem, because no single universal marker is valid across all cell types and tissues — the standard recommendation is to use a combination of markers. Several curated gene sets exist to serve this purpose: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550"/>
      </w:tblGrid>
      <w:tr>
        <w:trPr>
          <w:cantSplit/>
          <w:tblHeader/>
        </w:trPr>
        <w:tc>
          <w:tcPr>
            <w:tcW w:type="dxa" w:w="1900"/>
            <w:shd w:fill="16332A" w:color="auto" w:val="clear"/>
            <w:tcMar>
              <w:top w:type="dxa" w:w="80"/>
              <w:left w:type="dxa" w:w="100"/>
              <w:bottom w:type="dxa" w:w="80"/>
              <w:right w:type="dxa" w:w="100"/>
            </w:tcMar>
            <w:vAlign w:val="center"/>
          </w:tcPr>
          <w:p>
            <w:pPr>
              <w:spacing w:after="0" w:before="0" w:line="258"/>
            </w:pPr>
            <w:r>
              <w:rPr>
                <w:rFonts w:ascii="Calibri" w:cs="Calibri" w:eastAsia="Calibri" w:hAnsi="Calibri"/>
                <w:b/>
                <w:bCs/>
                <w:color w:val="FFFFFF"/>
                <w:sz w:val="19"/>
                <w:szCs w:val="19"/>
              </w:rPr>
              <w:t xml:space="preserve">Gene set</w:t>
            </w:r>
          </w:p>
        </w:tc>
        <w:tc>
          <w:tcPr>
            <w:tcW w:type="dxa" w:w="3900"/>
            <w:shd w:fill="16332A" w:color="auto" w:val="clear"/>
            <w:tcMar>
              <w:top w:type="dxa" w:w="80"/>
              <w:left w:type="dxa" w:w="100"/>
              <w:bottom w:type="dxa" w:w="80"/>
              <w:right w:type="dxa" w:w="100"/>
            </w:tcMar>
            <w:vAlign w:val="center"/>
          </w:tcPr>
          <w:p>
            <w:pPr>
              <w:spacing w:after="0" w:before="0" w:line="258"/>
            </w:pPr>
            <w:r>
              <w:rPr>
                <w:rFonts w:ascii="Calibri" w:cs="Calibri" w:eastAsia="Calibri" w:hAnsi="Calibri"/>
                <w:b/>
                <w:bCs/>
                <w:color w:val="FFFFFF"/>
                <w:sz w:val="19"/>
                <w:szCs w:val="19"/>
              </w:rPr>
              <w:t xml:space="preserve">Basis</w:t>
            </w:r>
          </w:p>
        </w:tc>
        <w:tc>
          <w:tcPr>
            <w:tcW w:type="dxa" w:w="3550"/>
            <w:shd w:fill="16332A" w:color="auto" w:val="clear"/>
            <w:tcMar>
              <w:top w:type="dxa" w:w="80"/>
              <w:left w:type="dxa" w:w="100"/>
              <w:bottom w:type="dxa" w:w="80"/>
              <w:right w:type="dxa" w:w="100"/>
            </w:tcMar>
            <w:vAlign w:val="center"/>
          </w:tcPr>
          <w:p>
            <w:pPr>
              <w:spacing w:after="0" w:before="0" w:line="258"/>
            </w:pPr>
            <w:r>
              <w:rPr>
                <w:rFonts w:ascii="Calibri" w:cs="Calibri" w:eastAsia="Calibri" w:hAnsi="Calibri"/>
                <w:b/>
                <w:bCs/>
                <w:color w:val="FFFFFF"/>
                <w:sz w:val="19"/>
                <w:szCs w:val="19"/>
              </w:rPr>
              <w:t xml:space="preserve">Size / note</w:t>
            </w:r>
          </w:p>
        </w:tc>
      </w:tr>
      <w:tr>
        <w:trPr>
          <w:cantSplit/>
        </w:trPr>
        <w:tc>
          <w:tcPr>
            <w:tcW w:type="dxa" w:w="1900"/>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SenMayo</w:t>
            </w:r>
          </w:p>
        </w:tc>
        <w:tc>
          <w:tcPr>
            <w:tcW w:type="dxa" w:w="3900"/>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Curated and validated to identify senescent cells across tissues and species; heavily enriched in SASP factors</w:t>
            </w:r>
          </w:p>
        </w:tc>
        <w:tc>
          <w:tcPr>
            <w:tcW w:type="dxa" w:w="3550"/>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125 human genes [13]</w:t>
            </w:r>
          </w:p>
        </w:tc>
      </w:tr>
      <w:tr>
        <w:trPr>
          <w:cantSplit/>
        </w:trPr>
        <w:tc>
          <w:tcPr>
            <w:tcW w:type="dxa" w:w="1900"/>
            <w:shd w:fill="EFF2EE" w:color="auto" w:val="clear"/>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CellAge</w:t>
            </w:r>
          </w:p>
        </w:tc>
        <w:tc>
          <w:tcPr>
            <w:tcW w:type="dxa" w:w="3900"/>
            <w:shd w:fill="EFF2EE" w:color="auto" w:val="clear"/>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Manually curated from gene-manipulation experiments in human cell types</w:t>
            </w:r>
          </w:p>
        </w:tc>
        <w:tc>
          <w:tcPr>
            <w:tcW w:type="dxa" w:w="3550"/>
            <w:shd w:fill="EFF2EE" w:color="auto" w:val="clear"/>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Part of HAGR [14]</w:t>
            </w:r>
          </w:p>
        </w:tc>
      </w:tr>
      <w:tr>
        <w:trPr>
          <w:cantSplit/>
        </w:trPr>
        <w:tc>
          <w:tcPr>
            <w:tcW w:type="dxa" w:w="1900"/>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GenAge</w:t>
            </w:r>
          </w:p>
        </w:tc>
        <w:tc>
          <w:tcPr>
            <w:tcW w:type="dxa" w:w="3900"/>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Meta-analysis of published microarray and RNA-seq datasets across mice, rats and humans</w:t>
            </w:r>
          </w:p>
        </w:tc>
        <w:tc>
          <w:tcPr>
            <w:tcW w:type="dxa" w:w="3550"/>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Part of HAGR</w:t>
            </w:r>
          </w:p>
        </w:tc>
      </w:tr>
      <w:tr>
        <w:trPr>
          <w:cantSplit/>
        </w:trPr>
        <w:tc>
          <w:tcPr>
            <w:tcW w:type="dxa" w:w="1900"/>
            <w:shd w:fill="EFF2EE" w:color="auto" w:val="clear"/>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CSgene, SeneQuest, GO/KEGG/Reactome</w:t>
            </w:r>
          </w:p>
        </w:tc>
        <w:tc>
          <w:tcPr>
            <w:tcW w:type="dxa" w:w="3900"/>
            <w:shd w:fill="EFF2EE" w:color="auto" w:val="clear"/>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Alternative curations and pathway annotations</w:t>
            </w:r>
          </w:p>
        </w:tc>
        <w:tc>
          <w:tcPr>
            <w:tcW w:type="dxa" w:w="3550"/>
            <w:shd w:fill="EFF2EE" w:color="auto" w:val="clear"/>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Available but overlap poorly</w:t>
            </w:r>
          </w:p>
        </w:tc>
      </w:tr>
    </w:tbl>
    <w:p>
      <w:pPr>
        <w:spacing w:after="120" w:before="0" w:line="276"/>
      </w:pPr>
      <w:r>
        <w:rPr>
          <w:rFonts w:ascii="Calibri" w:cs="Calibri" w:eastAsia="Calibri" w:hAnsi="Calibri"/>
          <w:color w:val="000000"/>
          <w:sz w:val="21"/>
          <w:szCs w:val="21"/>
        </w:rPr>
        <w:t xml:space="preserve">A critical caveat: these sets disagree substantially with each other. Across 1,855 senescence-related genes identified by any one set, 1,115 (about 60%) appear in only one set, and just 44 (2.4%) appear in at least five. Among genes reported by more than half the sets, four appear in eight of nine — </w:t>
      </w:r>
      <w:r>
        <w:rPr>
          <w:rFonts w:ascii="Calibri" w:cs="Calibri" w:eastAsia="Calibri" w:hAnsi="Calibri"/>
          <w:i/>
          <w:iCs/>
          <w:color w:val="000000"/>
          <w:sz w:val="21"/>
          <w:szCs w:val="21"/>
        </w:rPr>
        <w:t xml:space="preserve">CDKN1A</w:t>
      </w:r>
      <w:r>
        <w:rPr>
          <w:rFonts w:ascii="Calibri" w:cs="Calibri" w:eastAsia="Calibri" w:hAnsi="Calibri"/>
          <w:color w:val="000000"/>
          <w:sz w:val="21"/>
          <w:szCs w:val="21"/>
        </w:rPr>
        <w:t xml:space="preserve">, </w:t>
      </w:r>
      <w:r>
        <w:rPr>
          <w:rFonts w:ascii="Calibri" w:cs="Calibri" w:eastAsia="Calibri" w:hAnsi="Calibri"/>
          <w:i/>
          <w:iCs/>
          <w:color w:val="000000"/>
          <w:sz w:val="21"/>
          <w:szCs w:val="21"/>
        </w:rPr>
        <w:t xml:space="preserve">CDKN2A</w:t>
      </w:r>
      <w:r>
        <w:rPr>
          <w:rFonts w:ascii="Calibri" w:cs="Calibri" w:eastAsia="Calibri" w:hAnsi="Calibri"/>
          <w:color w:val="000000"/>
          <w:sz w:val="21"/>
          <w:szCs w:val="21"/>
        </w:rPr>
        <w:t xml:space="preserve">, </w:t>
      </w:r>
      <w:r>
        <w:rPr>
          <w:rFonts w:ascii="Calibri" w:cs="Calibri" w:eastAsia="Calibri" w:hAnsi="Calibri"/>
          <w:i/>
          <w:iCs/>
          <w:color w:val="000000"/>
          <w:sz w:val="21"/>
          <w:szCs w:val="21"/>
        </w:rPr>
        <w:t xml:space="preserve">IL6</w:t>
      </w:r>
      <w:r>
        <w:rPr>
          <w:rFonts w:ascii="Calibri" w:cs="Calibri" w:eastAsia="Calibri" w:hAnsi="Calibri"/>
          <w:color w:val="000000"/>
          <w:sz w:val="21"/>
          <w:szCs w:val="21"/>
        </w:rPr>
        <w:t xml:space="preserve"> and </w:t>
      </w:r>
      <w:r>
        <w:rPr>
          <w:rFonts w:ascii="Calibri" w:cs="Calibri" w:eastAsia="Calibri" w:hAnsi="Calibri"/>
          <w:i/>
          <w:iCs/>
          <w:color w:val="000000"/>
          <w:sz w:val="21"/>
          <w:szCs w:val="21"/>
        </w:rPr>
        <w:t xml:space="preserve">CDKN2B</w:t>
      </w:r>
      <w:r>
        <w:rPr>
          <w:rFonts w:ascii="Calibri" w:cs="Calibri" w:eastAsia="Calibri" w:hAnsi="Calibri"/>
          <w:color w:val="000000"/>
          <w:sz w:val="21"/>
          <w:szCs w:val="21"/>
        </w:rPr>
        <w:t xml:space="preserve">. CDKN1A and CDKN2A encode p21 and p16 respectively and are treated as gold-standard senescence genes [15].</w:t>
      </w:r>
    </w:p>
    <w:p>
      <w:pPr>
        <w:pBdr>
          <w:top w:val="single" w:color="D8DED6" w:sz="4" w:space="6"/>
          <w:left w:val="single" w:color="D8DED6" w:sz="4" w:space="6"/>
          <w:right w:val="single" w:color="D8DED6" w:sz="4" w:space="6"/>
        </w:pBdr>
        <w:shd w:fill="EFF2EE" w:color="auto" w:val="clear"/>
        <w:spacing w:after="0" w:before="140"/>
      </w:pPr>
      <w:r>
        <w:rPr>
          <w:rFonts w:ascii="Calibri" w:cs="Calibri" w:eastAsia="Calibri" w:hAnsi="Calibri"/>
          <w:b/>
          <w:bCs/>
          <w:color w:val="16332A"/>
          <w:sz w:val="20"/>
          <w:szCs w:val="20"/>
        </w:rPr>
        <w:t xml:space="preserve">Practical implication for Stage 2</w:t>
      </w:r>
    </w:p>
    <w:p>
      <w:pPr>
        <w:pBdr>
          <w:bottom w:val="single" w:color="D8DED6" w:sz="4" w:space="6"/>
          <w:left w:val="single" w:color="D8DED6" w:sz="4" w:space="6"/>
          <w:right w:val="single" w:color="D8DED6" w:sz="4" w:space="6"/>
        </w:pBdr>
        <w:shd w:fill="EFF2EE" w:color="auto" w:val="clear"/>
        <w:spacing w:after="140" w:before="60"/>
      </w:pPr>
      <w:r>
        <w:rPr>
          <w:rFonts w:ascii="Calibri" w:cs="Calibri" w:eastAsia="Calibri" w:hAnsi="Calibri"/>
          <w:color w:val="1F2420"/>
          <w:sz w:val="20"/>
          <w:szCs w:val="20"/>
        </w:rPr>
        <w:t xml:space="preserve">Using more than one gene set is not redundancy — it is necessary, because any single set gives a partial and idiosyncratic view. The proposal intersects DEGs against SenMayo, CellAge and GenAge together for exactly this reason. Note also that SenMayo has already been applied to β-cells [8], so the novelty rests on what happens downstream of the filter, not on the filter itself.</w:t>
      </w:r>
    </w:p>
    <w:p>
      <w:pPr>
        <w:pStyle w:val="Heading2"/>
        <w:spacing w:after="90" w:before="200"/>
      </w:pPr>
      <w:r>
        <w:rPr>
          <w:rFonts w:ascii="Cambria" w:cs="Cambria" w:eastAsia="Cambria" w:hAnsi="Cambria"/>
          <w:b/>
          <w:bCs/>
          <w:color w:val="24503F"/>
          <w:sz w:val="23"/>
          <w:szCs w:val="23"/>
        </w:rPr>
        <w:t xml:space="preserve">2.3 Preprocessing: RMA normalisation and ComBat batch correction</w:t>
      </w:r>
    </w:p>
    <w:p>
      <w:pPr>
        <w:spacing w:after="120" w:before="0" w:line="276"/>
      </w:pPr>
      <w:r>
        <w:rPr>
          <w:rFonts w:ascii="Calibri" w:cs="Calibri" w:eastAsia="Calibri" w:hAnsi="Calibri"/>
          <w:color w:val="000000"/>
          <w:sz w:val="21"/>
          <w:szCs w:val="21"/>
        </w:rPr>
        <w:t xml:space="preserve">Combining datasets across different platforms introduces two distinct problems that need two distinct fixes.</w:t>
      </w:r>
    </w:p>
    <w:p>
      <w:pPr>
        <w:pStyle w:val="ListParagraph"/>
        <w:numPr>
          <w:ilvl w:val="0"/>
          <w:numId w:val="2"/>
        </w:numPr>
        <w:spacing w:after="80" w:before="0" w:line="276"/>
      </w:pPr>
      <w:r>
        <w:rPr>
          <w:rFonts w:ascii="Calibri" w:cs="Calibri" w:eastAsia="Calibri" w:hAnsi="Calibri"/>
          <w:color w:val="000000"/>
          <w:sz w:val="21"/>
          <w:szCs w:val="21"/>
        </w:rPr>
        <w:t xml:space="preserve">Probe annotation. Probe IDs are platform-specific and cannot be merged directly — they must be re-annotated to a common namespace (Ensembl gene IDs or HGNC symbols) before any cross-dataset comparison.</w:t>
      </w:r>
    </w:p>
    <w:p>
      <w:pPr>
        <w:pStyle w:val="ListParagraph"/>
        <w:numPr>
          <w:ilvl w:val="0"/>
          <w:numId w:val="2"/>
        </w:numPr>
        <w:spacing w:after="80" w:before="0" w:line="276"/>
      </w:pPr>
      <w:r>
        <w:rPr>
          <w:rFonts w:ascii="Calibri" w:cs="Calibri" w:eastAsia="Calibri" w:hAnsi="Calibri"/>
          <w:color w:val="000000"/>
          <w:sz w:val="21"/>
          <w:szCs w:val="21"/>
        </w:rPr>
        <w:t xml:space="preserve">Within-dataset normalisation. Raw arrays undergo Robust Multi-array Average (RMA) background correction and quantile normalisation, applied to each dataset independently.</w:t>
      </w:r>
    </w:p>
    <w:p>
      <w:pPr>
        <w:pStyle w:val="ListParagraph"/>
        <w:numPr>
          <w:ilvl w:val="0"/>
          <w:numId w:val="2"/>
        </w:numPr>
        <w:spacing w:after="80" w:before="0" w:line="276"/>
      </w:pPr>
      <w:r>
        <w:rPr>
          <w:rFonts w:ascii="Calibri" w:cs="Calibri" w:eastAsia="Calibri" w:hAnsi="Calibri"/>
          <w:color w:val="000000"/>
          <w:sz w:val="21"/>
          <w:szCs w:val="21"/>
        </w:rPr>
        <w:t xml:space="preserve">Between-dataset batch correction. Only then is an empirical Bayes method (ComBat, in the R sva package) applied to remove systematic differences attributable to the study rather than the biology.</w:t>
      </w:r>
    </w:p>
    <w:p>
      <w:pPr>
        <w:spacing w:after="120" w:before="0" w:line="276"/>
      </w:pPr>
      <w:r>
        <w:rPr>
          <w:rFonts w:ascii="Calibri" w:cs="Calibri" w:eastAsia="Calibri" w:hAnsi="Calibri"/>
          <w:color w:val="000000"/>
          <w:sz w:val="21"/>
          <w:szCs w:val="21"/>
        </w:rPr>
        <w:t xml:space="preserve">Quality control before all of this matters too: RNA degradation plots, Normalized Unscaled Standard Error (NUSE) and Relative Log Expression (RLE) identify problem arrays, and outlier samples are removed via sample-clustering dendrograms. This is not hypothetical — one control sample in GSE25724 (GSM631757) is routinely excluded as a low-quality outlier in published reanalyses [16].</w:t>
      </w:r>
    </w:p>
    <w:p>
      <w:pPr>
        <w:pStyle w:val="Heading2"/>
        <w:spacing w:after="90" w:before="200"/>
      </w:pPr>
      <w:r>
        <w:rPr>
          <w:rFonts w:ascii="Cambria" w:cs="Cambria" w:eastAsia="Cambria" w:hAnsi="Cambria"/>
          <w:b/>
          <w:bCs/>
          <w:color w:val="24503F"/>
          <w:sz w:val="23"/>
          <w:szCs w:val="23"/>
        </w:rPr>
        <w:t xml:space="preserve">2.4 WGCNA — weighted gene co-expression network analysis</w:t>
      </w:r>
    </w:p>
    <w:p>
      <w:pPr>
        <w:spacing w:after="120" w:before="0" w:line="276"/>
      </w:pPr>
      <w:r>
        <w:rPr>
          <w:rFonts w:ascii="Calibri" w:cs="Calibri" w:eastAsia="Calibri" w:hAnsi="Calibri"/>
          <w:color w:val="000000"/>
          <w:sz w:val="21"/>
          <w:szCs w:val="21"/>
        </w:rPr>
        <w:t xml:space="preserve">WGCNA is a systems-biology method for describing correlation patterns among genes across samples. Rather than testing genes one at a time, it finds clusters (modules) of highly correlated genes, summarises each cluster by a module eigengene or an intramodular hub gene, relates modules to one another and to external sample traits, and computes module membership measures. Its explicit purpose includes network-based gene screening to identify candidate biomarkers or therapeutic targets [17].</w:t>
      </w:r>
    </w:p>
    <w:p>
      <w:pPr>
        <w:spacing w:after="70" w:before="150"/>
      </w:pPr>
      <w:r>
        <w:rPr>
          <w:rFonts w:ascii="Calibri" w:cs="Calibri" w:eastAsia="Calibri" w:hAnsi="Calibri"/>
          <w:b/>
          <w:bCs/>
          <w:color w:val="16332A"/>
          <w:sz w:val="21"/>
          <w:szCs w:val="21"/>
        </w:rPr>
        <w:t xml:space="preserve">How it works, step by step</w:t>
      </w:r>
    </w:p>
    <w:p>
      <w:pPr>
        <w:pStyle w:val="ListParagraph"/>
        <w:numPr>
          <w:ilvl w:val="0"/>
          <w:numId w:val="2"/>
        </w:numPr>
        <w:spacing w:after="80" w:before="0" w:line="276"/>
      </w:pPr>
      <w:r>
        <w:rPr>
          <w:rFonts w:ascii="Calibri" w:cs="Calibri" w:eastAsia="Calibri" w:hAnsi="Calibri"/>
          <w:color w:val="000000"/>
          <w:sz w:val="21"/>
          <w:szCs w:val="21"/>
        </w:rPr>
        <w:t xml:space="preserve">A gene–gene correlation matrix is computed across all samples (typically Pearson).</w:t>
      </w:r>
    </w:p>
    <w:p>
      <w:pPr>
        <w:pStyle w:val="ListParagraph"/>
        <w:numPr>
          <w:ilvl w:val="0"/>
          <w:numId w:val="2"/>
        </w:numPr>
        <w:spacing w:after="80" w:before="0" w:line="276"/>
      </w:pPr>
      <w:r>
        <w:rPr>
          <w:rFonts w:ascii="Calibri" w:cs="Calibri" w:eastAsia="Calibri" w:hAnsi="Calibri"/>
          <w:color w:val="000000"/>
          <w:sz w:val="21"/>
          <w:szCs w:val="21"/>
        </w:rPr>
        <w:t xml:space="preserve">A </w:t>
      </w:r>
      <w:r>
        <w:rPr>
          <w:rFonts w:ascii="Calibri" w:cs="Calibri" w:eastAsia="Calibri" w:hAnsi="Calibri"/>
          <w:b/>
          <w:bCs/>
          <w:color w:val="000000"/>
          <w:sz w:val="21"/>
          <w:szCs w:val="21"/>
        </w:rPr>
        <w:t xml:space="preserve">soft-thresholding power (β)</w:t>
      </w:r>
      <w:r>
        <w:rPr>
          <w:rFonts w:ascii="Calibri" w:cs="Calibri" w:eastAsia="Calibri" w:hAnsi="Calibri"/>
          <w:color w:val="000000"/>
          <w:sz w:val="21"/>
          <w:szCs w:val="21"/>
        </w:rPr>
        <w:t xml:space="preserve"> is applied to that matrix to produce an adjacency matrix. β is chosen so the network approximates scale-free topology — in practice, the smallest power reaching an acceptable fit (commonly R² ≥ 0.85). Weighted networks are preferred over unweighted because they preserve the continuous nature of co-expression and are robust with respect to β [17].</w:t>
      </w:r>
    </w:p>
    <w:p>
      <w:pPr>
        <w:pStyle w:val="ListParagraph"/>
        <w:numPr>
          <w:ilvl w:val="0"/>
          <w:numId w:val="2"/>
        </w:numPr>
        <w:spacing w:after="80" w:before="0" w:line="276"/>
      </w:pPr>
      <w:r>
        <w:rPr>
          <w:rFonts w:ascii="Calibri" w:cs="Calibri" w:eastAsia="Calibri" w:hAnsi="Calibri"/>
          <w:color w:val="000000"/>
          <w:sz w:val="21"/>
          <w:szCs w:val="21"/>
        </w:rPr>
        <w:t xml:space="preserve">Adjacency is converted to a Topological Overlap Matrix (TOM), which measures shared network neighbourhood rather than just direct correlation.</w:t>
      </w:r>
    </w:p>
    <w:p>
      <w:pPr>
        <w:pStyle w:val="ListParagraph"/>
        <w:numPr>
          <w:ilvl w:val="0"/>
          <w:numId w:val="2"/>
        </w:numPr>
        <w:spacing w:after="80" w:before="0" w:line="276"/>
      </w:pPr>
      <w:r>
        <w:rPr>
          <w:rFonts w:ascii="Calibri" w:cs="Calibri" w:eastAsia="Calibri" w:hAnsi="Calibri"/>
          <w:color w:val="000000"/>
          <w:sz w:val="21"/>
          <w:szCs w:val="21"/>
        </w:rPr>
        <w:t xml:space="preserve">Genes are hierarchically clustered on TOM dissimilarity and modules are cut out using the dynamic tree-cut algorithm; highly similar modules are then merged (commonly at a 0.25 dissimilarity threshold).</w:t>
      </w:r>
    </w:p>
    <w:p>
      <w:pPr>
        <w:pStyle w:val="ListParagraph"/>
        <w:numPr>
          <w:ilvl w:val="0"/>
          <w:numId w:val="2"/>
        </w:numPr>
        <w:spacing w:after="80" w:before="0" w:line="276"/>
      </w:pPr>
      <w:r>
        <w:rPr>
          <w:rFonts w:ascii="Calibri" w:cs="Calibri" w:eastAsia="Calibri" w:hAnsi="Calibri"/>
          <w:color w:val="000000"/>
          <w:sz w:val="21"/>
          <w:szCs w:val="21"/>
        </w:rPr>
        <w:t xml:space="preserve">Each module's eigengene is correlated against clinical traits (here: diabetic vs. non-diabetic status) to pick the module of interest.</w:t>
      </w:r>
    </w:p>
    <w:p>
      <w:pPr>
        <w:spacing w:after="120" w:before="0" w:line="276"/>
      </w:pPr>
      <w:r>
        <w:rPr>
          <w:rFonts w:ascii="Calibri" w:cs="Calibri" w:eastAsia="Calibri" w:hAnsi="Calibri"/>
          <w:color w:val="000000"/>
          <w:sz w:val="21"/>
          <w:szCs w:val="21"/>
        </w:rPr>
        <w:t xml:space="preserve">The authors themselves caution that choosing optimal cutting parameters remains an open question and recommend a cluster stability/robustness analysis, since a module may reflect a genuine pathway or merely noise [17]. Sample size is the practical constraint: on a very small dataset, module construction becomes unstable and soft-power thresholds inflate — which is precisely why dataset roles in this proposal were reassigned by cohort size.</w:t>
      </w:r>
    </w:p>
    <w:p>
      <w:pPr>
        <w:pStyle w:val="Heading2"/>
        <w:spacing w:after="90" w:before="200"/>
      </w:pPr>
      <w:r>
        <w:rPr>
          <w:rFonts w:ascii="Cambria" w:cs="Cambria" w:eastAsia="Cambria" w:hAnsi="Cambria"/>
          <w:b/>
          <w:bCs/>
          <w:color w:val="24503F"/>
          <w:sz w:val="23"/>
          <w:szCs w:val="23"/>
        </w:rPr>
        <w:t xml:space="preserve">2.5 The three machine learning algorithms — and why three</w:t>
      </w:r>
    </w:p>
    <w:p>
      <w:pPr>
        <w:spacing w:after="120" w:before="0" w:line="276"/>
      </w:pPr>
      <w:r>
        <w:rPr>
          <w:rFonts w:ascii="Calibri" w:cs="Calibri" w:eastAsia="Calibri" w:hAnsi="Calibri"/>
          <w:color w:val="000000"/>
          <w:sz w:val="21"/>
          <w:szCs w:val="21"/>
        </w:rPr>
        <w:t xml:space="preserve">A WGCNA module can still contain hundreds of genes. Feature selection narrows that to a defensible shortlist. This proposal uses three algorithms with genuinely different inductive biases, then takes the intersection: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3350"/>
      </w:tblGrid>
      <w:tr>
        <w:trPr>
          <w:cantSplit/>
          <w:tblHeader/>
        </w:trPr>
        <w:tc>
          <w:tcPr>
            <w:tcW w:type="dxa" w:w="2100"/>
            <w:shd w:fill="16332A" w:color="auto" w:val="clear"/>
            <w:tcMar>
              <w:top w:type="dxa" w:w="80"/>
              <w:left w:type="dxa" w:w="100"/>
              <w:bottom w:type="dxa" w:w="80"/>
              <w:right w:type="dxa" w:w="100"/>
            </w:tcMar>
            <w:vAlign w:val="center"/>
          </w:tcPr>
          <w:p>
            <w:pPr>
              <w:spacing w:after="0" w:before="0" w:line="258"/>
            </w:pPr>
            <w:r>
              <w:rPr>
                <w:rFonts w:ascii="Calibri" w:cs="Calibri" w:eastAsia="Calibri" w:hAnsi="Calibri"/>
                <w:b/>
                <w:bCs/>
                <w:color w:val="FFFFFF"/>
                <w:sz w:val="19"/>
                <w:szCs w:val="19"/>
              </w:rPr>
              <w:t xml:space="preserve">Algorithm</w:t>
            </w:r>
          </w:p>
        </w:tc>
        <w:tc>
          <w:tcPr>
            <w:tcW w:type="dxa" w:w="3900"/>
            <w:shd w:fill="16332A" w:color="auto" w:val="clear"/>
            <w:tcMar>
              <w:top w:type="dxa" w:w="80"/>
              <w:left w:type="dxa" w:w="100"/>
              <w:bottom w:type="dxa" w:w="80"/>
              <w:right w:type="dxa" w:w="100"/>
            </w:tcMar>
            <w:vAlign w:val="center"/>
          </w:tcPr>
          <w:p>
            <w:pPr>
              <w:spacing w:after="0" w:before="0" w:line="258"/>
            </w:pPr>
            <w:r>
              <w:rPr>
                <w:rFonts w:ascii="Calibri" w:cs="Calibri" w:eastAsia="Calibri" w:hAnsi="Calibri"/>
                <w:b/>
                <w:bCs/>
                <w:color w:val="FFFFFF"/>
                <w:sz w:val="19"/>
                <w:szCs w:val="19"/>
              </w:rPr>
              <w:t xml:space="preserve">Mechanism</w:t>
            </w:r>
          </w:p>
        </w:tc>
        <w:tc>
          <w:tcPr>
            <w:tcW w:type="dxa" w:w="3350"/>
            <w:shd w:fill="16332A" w:color="auto" w:val="clear"/>
            <w:tcMar>
              <w:top w:type="dxa" w:w="80"/>
              <w:left w:type="dxa" w:w="100"/>
              <w:bottom w:type="dxa" w:w="80"/>
              <w:right w:type="dxa" w:w="100"/>
            </w:tcMar>
            <w:vAlign w:val="center"/>
          </w:tcPr>
          <w:p>
            <w:pPr>
              <w:spacing w:after="0" w:before="0" w:line="258"/>
            </w:pPr>
            <w:r>
              <w:rPr>
                <w:rFonts w:ascii="Calibri" w:cs="Calibri" w:eastAsia="Calibri" w:hAnsi="Calibri"/>
                <w:b/>
                <w:bCs/>
                <w:color w:val="FFFFFF"/>
                <w:sz w:val="19"/>
                <w:szCs w:val="19"/>
              </w:rPr>
              <w:t xml:space="preserve">What it is good at</w:t>
            </w:r>
          </w:p>
        </w:tc>
      </w:tr>
      <w:tr>
        <w:trPr>
          <w:cantSplit/>
        </w:trPr>
        <w:tc>
          <w:tcPr>
            <w:tcW w:type="dxa" w:w="2100"/>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LASSO</w:t>
            </w:r>
          </w:p>
        </w:tc>
        <w:tc>
          <w:tcPr>
            <w:tcW w:type="dxa" w:w="3900"/>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L1-regularised regression; a penalty parameter λ shrinks coefficients of redundant variables to exactly zero</w:t>
            </w:r>
          </w:p>
        </w:tc>
        <w:tc>
          <w:tcPr>
            <w:tcW w:type="dxa" w:w="3350"/>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Handling multi-collinearity — which co-expression modules are full of by construction</w:t>
            </w:r>
          </w:p>
        </w:tc>
      </w:tr>
      <w:tr>
        <w:trPr>
          <w:cantSplit/>
        </w:trPr>
        <w:tc>
          <w:tcPr>
            <w:tcW w:type="dxa" w:w="2100"/>
            <w:shd w:fill="EFF2EE" w:color="auto" w:val="clear"/>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SVM-RFE</w:t>
            </w:r>
          </w:p>
        </w:tc>
        <w:tc>
          <w:tcPr>
            <w:tcW w:type="dxa" w:w="3900"/>
            <w:shd w:fill="EFF2EE" w:color="auto" w:val="clear"/>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Iteratively trains a support vector machine, ranks features by contribution to the margin separator weight vector, recursively prunes the weakest</w:t>
            </w:r>
          </w:p>
        </w:tc>
        <w:tc>
          <w:tcPr>
            <w:tcW w:type="dxa" w:w="3350"/>
            <w:shd w:fill="EFF2EE" w:color="auto" w:val="clear"/>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Sequential backward selection with strong classification performance</w:t>
            </w:r>
          </w:p>
        </w:tc>
      </w:tr>
      <w:tr>
        <w:trPr>
          <w:cantSplit/>
        </w:trPr>
        <w:tc>
          <w:tcPr>
            <w:tcW w:type="dxa" w:w="2100"/>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Random Forest</w:t>
            </w:r>
          </w:p>
        </w:tc>
        <w:tc>
          <w:tcPr>
            <w:tcW w:type="dxa" w:w="3900"/>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Ensemble of decision trees; variable importance via Mean Decrease Gini or Mean Decrease Accuracy on out-of-bag permutation</w:t>
            </w:r>
          </w:p>
        </w:tc>
        <w:tc>
          <w:tcPr>
            <w:tcW w:type="dxa" w:w="3350"/>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Capturing non-linear and interaction effects a linear model misses</w:t>
            </w:r>
          </w:p>
        </w:tc>
      </w:tr>
    </w:tbl>
    <w:p>
      <w:pPr>
        <w:spacing w:after="120" w:before="0" w:line="276"/>
      </w:pPr>
      <w:r>
        <w:rPr>
          <w:rFonts w:ascii="Calibri" w:cs="Calibri" w:eastAsia="Calibri" w:hAnsi="Calibri"/>
          <w:color w:val="000000"/>
          <w:sz w:val="21"/>
          <w:szCs w:val="21"/>
        </w:rPr>
        <w:t xml:space="preserve">Taking the three-way Venn intersection eliminates single-algorithm bias: a gene selected by an L1-penalised linear model, a margin-based method, and a non-linear ensemble is unlikely to be an artefact of any one method's assumptions. This is the same convergence logic Dr. Thirumurugan's group used for COL6A3, where all three algorithms independently nominated the same hub gene with cross-validation AUC above roughly 0.90 [10].</w:t>
      </w:r>
    </w:p>
    <w:p>
      <w:pPr>
        <w:spacing w:after="70" w:before="150"/>
      </w:pPr>
      <w:r>
        <w:rPr>
          <w:rFonts w:ascii="Calibri" w:cs="Calibri" w:eastAsia="Calibri" w:hAnsi="Calibri"/>
          <w:b/>
          <w:bCs/>
          <w:color w:val="16332A"/>
          <w:sz w:val="21"/>
          <w:szCs w:val="21"/>
        </w:rPr>
        <w:t xml:space="preserve">ROC-AUC: what the number means</w:t>
      </w:r>
    </w:p>
    <w:p>
      <w:pPr>
        <w:spacing w:after="120" w:before="0" w:line="276"/>
      </w:pPr>
      <w:r>
        <w:rPr>
          <w:rFonts w:ascii="Calibri" w:cs="Calibri" w:eastAsia="Calibri" w:hAnsi="Calibri"/>
          <w:color w:val="000000"/>
          <w:sz w:val="21"/>
          <w:szCs w:val="21"/>
        </w:rPr>
        <w:t xml:space="preserve">A Receiver Operating Characteristic curve plots true-positive rate against false-positive rate across all classification thresholds; the Area Under the Curve summarises it as a single value. AUC = 0.5 is chance; AUC = 1.0 is perfect separation. Critically, AUC must be reported on an </w:t>
      </w:r>
      <w:r>
        <w:rPr>
          <w:rFonts w:ascii="Calibri" w:cs="Calibri" w:eastAsia="Calibri" w:hAnsi="Calibri"/>
          <w:i/>
          <w:iCs/>
          <w:color w:val="000000"/>
          <w:sz w:val="21"/>
          <w:szCs w:val="21"/>
        </w:rPr>
        <w:t xml:space="preserve">independent</w:t>
      </w:r>
      <w:r>
        <w:rPr>
          <w:rFonts w:ascii="Calibri" w:cs="Calibri" w:eastAsia="Calibri" w:hAnsi="Calibri"/>
          <w:color w:val="000000"/>
          <w:sz w:val="21"/>
          <w:szCs w:val="21"/>
        </w:rPr>
        <w:t xml:space="preserve"> cohort, not the one used for training — otherwise it measures memorisation. This is why the proposal pairs each discovery dataset with a separate validation dataset, and why the adipose arm's target (≥ 0.80) is set below the islet arm's (≥ 0.85): smaller cohorts support less confident estimates, and claiming otherwise would be statistically dishonest.</w:t>
      </w:r>
    </w:p>
    <w:p>
      <w:pPr>
        <w:pStyle w:val="Heading2"/>
        <w:spacing w:after="90" w:before="200"/>
      </w:pPr>
      <w:r>
        <w:rPr>
          <w:rFonts w:ascii="Cambria" w:cs="Cambria" w:eastAsia="Cambria" w:hAnsi="Cambria"/>
          <w:b/>
          <w:bCs/>
          <w:color w:val="24503F"/>
          <w:sz w:val="23"/>
          <w:szCs w:val="23"/>
        </w:rPr>
        <w:t xml:space="preserve">2.6 Single-cell validation and the pseudobulk problem</w:t>
      </w:r>
    </w:p>
    <w:p>
      <w:pPr>
        <w:spacing w:after="120" w:before="0" w:line="276"/>
      </w:pPr>
      <w:r>
        <w:rPr>
          <w:rFonts w:ascii="Calibri" w:cs="Calibri" w:eastAsia="Calibri" w:hAnsi="Calibri"/>
          <w:color w:val="000000"/>
          <w:sz w:val="21"/>
          <w:szCs w:val="21"/>
        </w:rPr>
        <w:t xml:space="preserve">Bulk tissue expression is a weighted average over every cell type present. An islet contains α, β, δ and PP endocrine cells plus acinar and ductal exocrine tissue, so a hub gene that looks islet-associated in bulk data might actually originate in exocrine contamination. Single-cell RNA-seq resolves this — GSE81608 profiles roughly 1,600 human islet cells across non-diabetic and T2D donors, allowing cell-type attribution [18].</w:t>
      </w:r>
    </w:p>
    <w:p>
      <w:pPr>
        <w:pBdr>
          <w:top w:val="single" w:color="D8DED6" w:sz="4" w:space="6"/>
          <w:left w:val="single" w:color="D8DED6" w:sz="4" w:space="6"/>
          <w:right w:val="single" w:color="D8DED6" w:sz="4" w:space="6"/>
        </w:pBdr>
        <w:shd w:fill="EFF2EE" w:color="auto" w:val="clear"/>
        <w:spacing w:after="0" w:before="140"/>
      </w:pPr>
      <w:r>
        <w:rPr>
          <w:rFonts w:ascii="Calibri" w:cs="Calibri" w:eastAsia="Calibri" w:hAnsi="Calibri"/>
          <w:b/>
          <w:bCs/>
          <w:color w:val="16332A"/>
          <w:sz w:val="20"/>
          <w:szCs w:val="20"/>
        </w:rPr>
        <w:t xml:space="preserve">Pseudoreplication — a trap worth knowing</w:t>
      </w:r>
    </w:p>
    <w:p>
      <w:pPr>
        <w:pBdr>
          <w:bottom w:val="single" w:color="D8DED6" w:sz="4" w:space="6"/>
          <w:left w:val="single" w:color="D8DED6" w:sz="4" w:space="6"/>
          <w:right w:val="single" w:color="D8DED6" w:sz="4" w:space="6"/>
        </w:pBdr>
        <w:shd w:fill="EFF2EE" w:color="auto" w:val="clear"/>
        <w:spacing w:after="140" w:before="60"/>
      </w:pPr>
      <w:r>
        <w:rPr>
          <w:rFonts w:ascii="Calibri" w:cs="Calibri" w:eastAsia="Calibri" w:hAnsi="Calibri"/>
          <w:color w:val="1F2420"/>
          <w:sz w:val="20"/>
          <w:szCs w:val="20"/>
        </w:rPr>
        <w:t xml:space="preserve">Cells from the same donor are not independent statistical observations. Treating 100 cells from one patient as n = 100 inflates significance dramatically. The correct approach is pseudobulk aggregation — collapse each donor's cells of a given type into one profile per donor, then analyse at donor level (n = number of donors, not cells).</w:t>
      </w:r>
    </w:p>
    <w:p>
      <w:pPr>
        <w:pStyle w:val="Heading2"/>
        <w:spacing w:after="90" w:before="200"/>
      </w:pPr>
      <w:r>
        <w:rPr>
          <w:rFonts w:ascii="Cambria" w:cs="Cambria" w:eastAsia="Cambria" w:hAnsi="Cambria"/>
          <w:b/>
          <w:bCs/>
          <w:color w:val="24503F"/>
          <w:sz w:val="23"/>
          <w:szCs w:val="23"/>
        </w:rPr>
        <w:t xml:space="preserve">2.7 Structural modelling and molecular docking</w:t>
      </w:r>
    </w:p>
    <w:p>
      <w:pPr>
        <w:spacing w:after="70" w:before="150"/>
      </w:pPr>
      <w:r>
        <w:rPr>
          <w:rFonts w:ascii="Calibri" w:cs="Calibri" w:eastAsia="Calibri" w:hAnsi="Calibri"/>
          <w:b/>
          <w:bCs/>
          <w:color w:val="16332A"/>
          <w:sz w:val="21"/>
          <w:szCs w:val="21"/>
        </w:rPr>
        <w:t xml:space="preserve">AlphaFold2</w:t>
      </w:r>
    </w:p>
    <w:p>
      <w:pPr>
        <w:spacing w:after="120" w:before="0" w:line="276"/>
      </w:pPr>
      <w:r>
        <w:rPr>
          <w:rFonts w:ascii="Calibri" w:cs="Calibri" w:eastAsia="Calibri" w:hAnsi="Calibri"/>
          <w:color w:val="000000"/>
          <w:sz w:val="21"/>
          <w:szCs w:val="21"/>
        </w:rPr>
        <w:t xml:space="preserve">Docking requires a three-dimensional structure, and experimentally solved structures cover only a fraction of known proteins — around 100,000 unique protein structures had been determined against billions of known sequences, with structural coverage bottlenecked by the months to years each structure takes [19]. AlphaFold2 addressed this: in the blind CASP14 assessment its predictions had a median backbone accuracy of 0.96 Å r.m.s.d.95, vastly ahead of competing methods [19]. Practically, if the hub gene product has no PDB entry, AlphaFold2 (or the AlphaFold DB) supplies a usable model.</w:t>
      </w:r>
    </w:p>
    <w:p>
      <w:pPr>
        <w:spacing w:after="120" w:before="0" w:line="276"/>
      </w:pPr>
      <w:r>
        <w:rPr>
          <w:rFonts w:ascii="Calibri" w:cs="Calibri" w:eastAsia="Calibri" w:hAnsi="Calibri"/>
          <w:color w:val="000000"/>
          <w:sz w:val="21"/>
          <w:szCs w:val="21"/>
        </w:rPr>
        <w:t xml:space="preserve">Predicted structures still need quality assessment before use — Ramachandran plot analysis (targeting &gt;90% of residues in favoured regions) and ERRAT or similar scores. A caveat worth stating in any write-up: AlphaFold2 predicts a single dominant conformation and is not reliable for assessing the structural impact of missense mutations or for sampling alternative conformational states.</w:t>
      </w:r>
    </w:p>
    <w:p>
      <w:pPr>
        <w:spacing w:after="70" w:before="150"/>
      </w:pPr>
      <w:r>
        <w:rPr>
          <w:rFonts w:ascii="Calibri" w:cs="Calibri" w:eastAsia="Calibri" w:hAnsi="Calibri"/>
          <w:b/>
          <w:bCs/>
          <w:color w:val="16332A"/>
          <w:sz w:val="21"/>
          <w:szCs w:val="21"/>
        </w:rPr>
        <w:t xml:space="preserve">Docking: AutoDock Vina and HADDOCK</w:t>
      </w:r>
    </w:p>
    <w:p>
      <w:pPr>
        <w:spacing w:after="120" w:before="0" w:line="276"/>
      </w:pPr>
      <w:r>
        <w:rPr>
          <w:rFonts w:ascii="Calibri" w:cs="Calibri" w:eastAsia="Calibri" w:hAnsi="Calibri"/>
          <w:color w:val="000000"/>
          <w:sz w:val="21"/>
          <w:szCs w:val="21"/>
        </w:rPr>
        <w:t xml:space="preserve">Molecular docking predicts how a small molecule (ligand) binds a protein (receptor) and scores that interaction. AutoDock Vina introduced a scoring function, optimisation routine and multithreading that improved on earlier AutoDock speed and accuracy [20], and the standard workflow converts structures to PDBQT format via AutoDockTools before running Vina with a defined search box and exhaustiveness parameter.</w:t>
      </w:r>
    </w:p>
    <w:p>
      <w:pPr>
        <w:spacing w:after="120" w:before="0" w:line="276"/>
      </w:pPr>
      <w:r>
        <w:rPr>
          <w:rFonts w:ascii="Calibri" w:cs="Calibri" w:eastAsia="Calibri" w:hAnsi="Calibri"/>
          <w:color w:val="000000"/>
          <w:sz w:val="21"/>
          <w:szCs w:val="21"/>
        </w:rPr>
        <w:t xml:space="preserve">The docking protocol for this proposal involves: defining a grid box around the predicted active site or allosteric pocket; semi-flexible docking allowing ligand rotatable bonds against a rigid or semi-flexible receptor; computing binding energy (ΔG, in kcal/mol) and where appropriate an inhibition constant; and mapping the non-covalent interactions — hydrogen bonds, π–π stacking, hydrophobic contacts — onto specific residues.</w:t>
      </w:r>
    </w:p>
    <w:p>
      <w:pPr>
        <w:pBdr>
          <w:top w:val="single" w:color="D8DED6" w:sz="4" w:space="6"/>
          <w:left w:val="single" w:color="D8DED6" w:sz="4" w:space="6"/>
          <w:right w:val="single" w:color="D8DED6" w:sz="4" w:space="6"/>
        </w:pBdr>
        <w:shd w:fill="EFF2EE" w:color="auto" w:val="clear"/>
        <w:spacing w:after="0" w:before="140"/>
      </w:pPr>
      <w:r>
        <w:rPr>
          <w:rFonts w:ascii="Calibri" w:cs="Calibri" w:eastAsia="Calibri" w:hAnsi="Calibri"/>
          <w:b/>
          <w:bCs/>
          <w:color w:val="16332A"/>
          <w:sz w:val="20"/>
          <w:szCs w:val="20"/>
        </w:rPr>
        <w:t xml:space="preserve">An honest limitation</w:t>
      </w:r>
    </w:p>
    <w:p>
      <w:pPr>
        <w:pBdr>
          <w:bottom w:val="single" w:color="D8DED6" w:sz="4" w:space="6"/>
          <w:left w:val="single" w:color="D8DED6" w:sz="4" w:space="6"/>
          <w:right w:val="single" w:color="D8DED6" w:sz="4" w:space="6"/>
        </w:pBdr>
        <w:shd w:fill="EFF2EE" w:color="auto" w:val="clear"/>
        <w:spacing w:after="140" w:before="60"/>
      </w:pPr>
      <w:r>
        <w:rPr>
          <w:rFonts w:ascii="Calibri" w:cs="Calibri" w:eastAsia="Calibri" w:hAnsi="Calibri"/>
          <w:color w:val="1F2420"/>
          <w:sz w:val="20"/>
          <w:szCs w:val="20"/>
        </w:rPr>
        <w:t xml:space="preserve">Docking scores correlate imperfectly with experimental binding affinity. Large molecular dynamics benchmark datasets show stronger correlation with experimental values than docking scores do [21]. A docking result is a prioritisation and a hypothesis — it is not evidence of binding, and the proposal should not claim otherwise. This is precisely why the comparative panel of four compounds is more defensible than docking a single compound: relative ranking is more robust than any absolute ΔG.</w:t>
      </w:r>
    </w:p>
    <w:p>
      <w:pPr>
        <w:pStyle w:val="Heading1"/>
        <w:pBdr>
          <w:bottom w:val="single" w:color="24503F" w:sz="6" w:space="4"/>
        </w:pBdr>
        <w:spacing w:after="130" w:before="300"/>
      </w:pPr>
      <w:r>
        <w:rPr>
          <w:rFonts w:ascii="Cambria" w:cs="Cambria" w:eastAsia="Cambria" w:hAnsi="Cambria"/>
          <w:b/>
          <w:bCs/>
          <w:color w:val="16332A"/>
          <w:sz w:val="27"/>
          <w:szCs w:val="27"/>
        </w:rPr>
        <w:t xml:space="preserve">Part 3 · Situating the Proposal</w:t>
      </w:r>
    </w:p>
    <w:p>
      <w:pPr>
        <w:pStyle w:val="Heading2"/>
        <w:spacing w:after="90" w:before="200"/>
      </w:pPr>
      <w:r>
        <w:rPr>
          <w:rFonts w:ascii="Cambria" w:cs="Cambria" w:eastAsia="Cambria" w:hAnsi="Cambria"/>
          <w:b/>
          <w:bCs/>
          <w:color w:val="24503F"/>
          <w:sz w:val="23"/>
          <w:szCs w:val="23"/>
        </w:rPr>
        <w:t xml:space="preserve">3.1 What has already been published</w:t>
      </w:r>
    </w:p>
    <w:p>
      <w:pPr>
        <w:spacing w:after="120" w:before="0" w:line="276"/>
      </w:pPr>
      <w:r>
        <w:rPr>
          <w:rFonts w:ascii="Calibri" w:cs="Calibri" w:eastAsia="Calibri" w:hAnsi="Calibri"/>
          <w:color w:val="000000"/>
          <w:sz w:val="21"/>
          <w:szCs w:val="21"/>
        </w:rPr>
        <w:t xml:space="preserve">Knowing the surrounding literature is what keeps a novelty claim survivable under review. On these specific datasets and this specific disease, a great deal already exists:</w:t>
      </w:r>
    </w:p>
    <w:p>
      <w:pPr>
        <w:pStyle w:val="ListParagraph"/>
        <w:numPr>
          <w:ilvl w:val="0"/>
          <w:numId w:val="2"/>
        </w:numPr>
        <w:spacing w:after="80" w:before="0" w:line="276"/>
      </w:pPr>
      <w:r>
        <w:rPr>
          <w:rFonts w:ascii="Calibri" w:cs="Calibri" w:eastAsia="Calibri" w:hAnsi="Calibri"/>
          <w:color w:val="000000"/>
          <w:sz w:val="21"/>
          <w:szCs w:val="21"/>
        </w:rPr>
        <w:t xml:space="preserve">The four islet datasets (GSE20966, GSE25724, GSE38642, GSE41762) have been repeatedly combined and mined for hub genes by multiple independent groups, using DEG analysis, PPI networks, WGCNA and machine learning [16][22].</w:t>
      </w:r>
    </w:p>
    <w:p>
      <w:pPr>
        <w:pStyle w:val="ListParagraph"/>
        <w:numPr>
          <w:ilvl w:val="0"/>
          <w:numId w:val="2"/>
        </w:numPr>
        <w:spacing w:after="80" w:before="0" w:line="276"/>
      </w:pPr>
      <w:r>
        <w:rPr>
          <w:rFonts w:ascii="Calibri" w:cs="Calibri" w:eastAsia="Calibri" w:hAnsi="Calibri"/>
          <w:color w:val="000000"/>
          <w:sz w:val="21"/>
          <w:szCs w:val="21"/>
        </w:rPr>
        <w:t xml:space="preserve">Islet hub-gene panels have been published specifically for autophagy, ferroptosis and pyroptosis in T2DM.</w:t>
      </w:r>
    </w:p>
    <w:p>
      <w:pPr>
        <w:pStyle w:val="ListParagraph"/>
        <w:numPr>
          <w:ilvl w:val="0"/>
          <w:numId w:val="2"/>
        </w:numPr>
        <w:spacing w:after="80" w:before="0" w:line="276"/>
      </w:pPr>
      <w:r>
        <w:rPr>
          <w:rFonts w:ascii="Calibri" w:cs="Calibri" w:eastAsia="Calibri" w:hAnsi="Calibri"/>
          <w:color w:val="000000"/>
          <w:sz w:val="21"/>
          <w:szCs w:val="21"/>
        </w:rPr>
        <w:t xml:space="preserve">SenMayo-based senescence scoring has already been applied to β-cells at single-cell resolution, producing a β-cell-specific senescence score that distinguishes p21-positive subpopulations [8].</w:t>
      </w:r>
    </w:p>
    <w:p>
      <w:pPr>
        <w:pStyle w:val="ListParagraph"/>
        <w:numPr>
          <w:ilvl w:val="0"/>
          <w:numId w:val="2"/>
        </w:numPr>
        <w:spacing w:after="80" w:before="0" w:line="276"/>
      </w:pPr>
      <w:r>
        <w:rPr>
          <w:rFonts w:ascii="Calibri" w:cs="Calibri" w:eastAsia="Calibri" w:hAnsi="Calibri"/>
          <w:color w:val="000000"/>
          <w:sz w:val="21"/>
          <w:szCs w:val="21"/>
        </w:rPr>
        <w:t xml:space="preserve">Naringenin has been run through network pharmacology plus molecular docking pipelines — but for Parkinsonism, where the identified targets were DRD4, DRD2, NFKB1, MAOB, MAPK14 and CYP2A6 [23], not for senescence or diabetes.</w:t>
      </w:r>
    </w:p>
    <w:p>
      <w:pPr>
        <w:pStyle w:val="Heading2"/>
        <w:spacing w:after="90" w:before="200"/>
      </w:pPr>
      <w:r>
        <w:rPr>
          <w:rFonts w:ascii="Cambria" w:cs="Cambria" w:eastAsia="Cambria" w:hAnsi="Cambria"/>
          <w:b/>
          <w:bCs/>
          <w:color w:val="24503F"/>
          <w:sz w:val="23"/>
          <w:szCs w:val="23"/>
        </w:rPr>
        <w:t xml:space="preserve">3.2 What remains open</w:t>
      </w:r>
    </w:p>
    <w:p>
      <w:pPr>
        <w:spacing w:after="120" w:before="0" w:line="276"/>
      </w:pPr>
      <w:r>
        <w:rPr>
          <w:rFonts w:ascii="Calibri" w:cs="Calibri" w:eastAsia="Calibri" w:hAnsi="Calibri"/>
          <w:color w:val="000000"/>
          <w:sz w:val="21"/>
          <w:szCs w:val="21"/>
        </w:rPr>
        <w:t xml:space="preserve">Against that backdrop, three specific claims survive:</w:t>
      </w:r>
    </w:p>
    <w:p>
      <w:pPr>
        <w:pStyle w:val="ListParagraph"/>
        <w:numPr>
          <w:ilvl w:val="0"/>
          <w:numId w:val="2"/>
        </w:numPr>
        <w:spacing w:after="80" w:before="0" w:line="276"/>
      </w:pPr>
      <w:r>
        <w:rPr>
          <w:rFonts w:ascii="Calibri" w:cs="Calibri" w:eastAsia="Calibri" w:hAnsi="Calibri"/>
          <w:color w:val="000000"/>
          <w:sz w:val="21"/>
          <w:szCs w:val="21"/>
        </w:rPr>
        <w:t xml:space="preserve">No published study combines senescence-gene-set filtering with three-algorithm ML convergence (LASSO + SVM-RFE + Random Forest) on T2DM tissue.</w:t>
      </w:r>
    </w:p>
    <w:p>
      <w:pPr>
        <w:pStyle w:val="ListParagraph"/>
        <w:numPr>
          <w:ilvl w:val="0"/>
          <w:numId w:val="2"/>
        </w:numPr>
        <w:spacing w:after="80" w:before="0" w:line="276"/>
      </w:pPr>
      <w:r>
        <w:rPr>
          <w:rFonts w:ascii="Calibri" w:cs="Calibri" w:eastAsia="Calibri" w:hAnsi="Calibri"/>
          <w:color w:val="000000"/>
          <w:sz w:val="21"/>
          <w:szCs w:val="21"/>
        </w:rPr>
        <w:t xml:space="preserve">No published study links an ML-derived senescence hub gene to a structurally docked phytocompound target.</w:t>
      </w:r>
    </w:p>
    <w:p>
      <w:pPr>
        <w:pStyle w:val="ListParagraph"/>
        <w:numPr>
          <w:ilvl w:val="0"/>
          <w:numId w:val="2"/>
        </w:numPr>
        <w:spacing w:after="80" w:before="0" w:line="276"/>
      </w:pPr>
      <w:r>
        <w:rPr>
          <w:rFonts w:ascii="Calibri" w:cs="Calibri" w:eastAsia="Calibri" w:hAnsi="Calibri"/>
          <w:color w:val="000000"/>
          <w:sz w:val="21"/>
          <w:szCs w:val="21"/>
        </w:rPr>
        <w:t xml:space="preserve">No published study compares senescence hub-gene signatures across pancreatic islet and adipose tissue within T2DM — the specific contribution of this proposal.</w:t>
      </w:r>
    </w:p>
    <w:p>
      <w:pPr>
        <w:pBdr>
          <w:top w:val="single" w:color="D8DED6" w:sz="4" w:space="6"/>
          <w:left w:val="single" w:color="D8DED6" w:sz="4" w:space="6"/>
          <w:right w:val="single" w:color="D8DED6" w:sz="4" w:space="6"/>
        </w:pBdr>
        <w:shd w:fill="EFF2EE" w:color="auto" w:val="clear"/>
        <w:spacing w:after="0" w:before="140"/>
      </w:pPr>
      <w:r>
        <w:rPr>
          <w:rFonts w:ascii="Calibri" w:cs="Calibri" w:eastAsia="Calibri" w:hAnsi="Calibri"/>
          <w:b/>
          <w:bCs/>
          <w:color w:val="16332A"/>
          <w:sz w:val="20"/>
          <w:szCs w:val="20"/>
        </w:rPr>
        <w:t xml:space="preserve">How to talk about novelty</w:t>
      </w:r>
    </w:p>
    <w:p>
      <w:pPr>
        <w:pBdr>
          <w:bottom w:val="single" w:color="D8DED6" w:sz="4" w:space="6"/>
          <w:left w:val="single" w:color="D8DED6" w:sz="4" w:space="6"/>
          <w:right w:val="single" w:color="D8DED6" w:sz="4" w:space="6"/>
        </w:pBdr>
        <w:shd w:fill="EFF2EE" w:color="auto" w:val="clear"/>
        <w:spacing w:after="140" w:before="60"/>
      </w:pPr>
      <w:r>
        <w:rPr>
          <w:rFonts w:ascii="Calibri" w:cs="Calibri" w:eastAsia="Calibri" w:hAnsi="Calibri"/>
          <w:color w:val="1F2420"/>
          <w:sz w:val="20"/>
          <w:szCs w:val="20"/>
        </w:rPr>
        <w:t xml:space="preserve">The defensible framing is narrow and specific: not “nobody has studied islet hub genes” (false) and not “nobody has applied SenMayo to islets” (also false), but “nobody has run this particular pipeline, and nobody has run this particular cross-tissue comparison.” Overclaiming here is the fastest way to lose a reviewer.</w:t>
      </w:r>
    </w:p>
    <w:p>
      <w:pPr>
        <w:pStyle w:val="Heading1"/>
        <w:pBdr>
          <w:bottom w:val="single" w:color="24503F" w:sz="6" w:space="4"/>
        </w:pBdr>
        <w:spacing w:after="130" w:before="300"/>
      </w:pPr>
      <w:r>
        <w:rPr>
          <w:rFonts w:ascii="Cambria" w:cs="Cambria" w:eastAsia="Cambria" w:hAnsi="Cambria"/>
          <w:b/>
          <w:bCs/>
          <w:color w:val="16332A"/>
          <w:sz w:val="27"/>
          <w:szCs w:val="27"/>
        </w:rPr>
        <w:t xml:space="preserve">Quick Reference Glossary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cantSplit/>
          <w:tblHeader/>
        </w:trPr>
        <w:tc>
          <w:tcPr>
            <w:tcW w:type="dxa" w:w="2600"/>
            <w:shd w:fill="16332A" w:color="auto" w:val="clear"/>
            <w:tcMar>
              <w:top w:type="dxa" w:w="80"/>
              <w:left w:type="dxa" w:w="100"/>
              <w:bottom w:type="dxa" w:w="80"/>
              <w:right w:type="dxa" w:w="100"/>
            </w:tcMar>
            <w:vAlign w:val="center"/>
          </w:tcPr>
          <w:p>
            <w:pPr>
              <w:spacing w:after="0" w:before="0" w:line="258"/>
            </w:pPr>
            <w:r>
              <w:rPr>
                <w:rFonts w:ascii="Calibri" w:cs="Calibri" w:eastAsia="Calibri" w:hAnsi="Calibri"/>
                <w:b/>
                <w:bCs/>
                <w:color w:val="FFFFFF"/>
                <w:sz w:val="19"/>
                <w:szCs w:val="19"/>
              </w:rPr>
              <w:t xml:space="preserve">Term</w:t>
            </w:r>
          </w:p>
        </w:tc>
        <w:tc>
          <w:tcPr>
            <w:tcW w:type="dxa" w:w="6750"/>
            <w:shd w:fill="16332A" w:color="auto" w:val="clear"/>
            <w:tcMar>
              <w:top w:type="dxa" w:w="80"/>
              <w:left w:type="dxa" w:w="100"/>
              <w:bottom w:type="dxa" w:w="80"/>
              <w:right w:type="dxa" w:w="100"/>
            </w:tcMar>
            <w:vAlign w:val="center"/>
          </w:tcPr>
          <w:p>
            <w:pPr>
              <w:spacing w:after="0" w:before="0" w:line="258"/>
            </w:pPr>
            <w:r>
              <w:rPr>
                <w:rFonts w:ascii="Calibri" w:cs="Calibri" w:eastAsia="Calibri" w:hAnsi="Calibri"/>
                <w:b/>
                <w:bCs/>
                <w:color w:val="FFFFFF"/>
                <w:sz w:val="19"/>
                <w:szCs w:val="19"/>
              </w:rPr>
              <w:t xml:space="preserve">Meaning</w:t>
            </w:r>
          </w:p>
        </w:tc>
      </w:tr>
      <w:tr>
        <w:trPr>
          <w:cantSplit/>
        </w:trPr>
        <w:tc>
          <w:tcPr>
            <w:tcW w:type="dxa" w:w="2600"/>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SASP</w:t>
            </w:r>
          </w:p>
        </w:tc>
        <w:tc>
          <w:tcPr>
            <w:tcW w:type="dxa" w:w="6750"/>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Senescence-associated secretory phenotype — the inflammatory secretome of senescent cells</w:t>
            </w:r>
          </w:p>
        </w:tc>
      </w:tr>
      <w:tr>
        <w:trPr>
          <w:cantSplit/>
        </w:trPr>
        <w:tc>
          <w:tcPr>
            <w:tcW w:type="dxa" w:w="2600"/>
            <w:shd w:fill="EFF2EE" w:color="auto" w:val="clear"/>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Senolytic</w:t>
            </w:r>
          </w:p>
        </w:tc>
        <w:tc>
          <w:tcPr>
            <w:tcW w:type="dxa" w:w="6750"/>
            <w:shd w:fill="EFF2EE" w:color="auto" w:val="clear"/>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Drug that selectively kills senescent cells</w:t>
            </w:r>
          </w:p>
        </w:tc>
      </w:tr>
      <w:tr>
        <w:trPr>
          <w:cantSplit/>
        </w:trPr>
        <w:tc>
          <w:tcPr>
            <w:tcW w:type="dxa" w:w="2600"/>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Senomorph / senostatic</w:t>
            </w:r>
          </w:p>
        </w:tc>
        <w:tc>
          <w:tcPr>
            <w:tcW w:type="dxa" w:w="6750"/>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Drug that suppresses the senescent phenotype without killing the cell</w:t>
            </w:r>
          </w:p>
        </w:tc>
      </w:tr>
      <w:tr>
        <w:trPr>
          <w:cantSplit/>
        </w:trPr>
        <w:tc>
          <w:tcPr>
            <w:tcW w:type="dxa" w:w="2600"/>
            <w:shd w:fill="EFF2EE" w:color="auto" w:val="clear"/>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SCAP</w:t>
            </w:r>
          </w:p>
        </w:tc>
        <w:tc>
          <w:tcPr>
            <w:tcW w:type="dxa" w:w="6750"/>
            <w:shd w:fill="EFF2EE" w:color="auto" w:val="clear"/>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Senescent-cell anti-apoptotic pathway — the survival dependency senolytics exploit</w:t>
            </w:r>
          </w:p>
        </w:tc>
      </w:tr>
      <w:tr>
        <w:trPr>
          <w:cantSplit/>
        </w:trPr>
        <w:tc>
          <w:tcPr>
            <w:tcW w:type="dxa" w:w="2600"/>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DEG</w:t>
            </w:r>
          </w:p>
        </w:tc>
        <w:tc>
          <w:tcPr>
            <w:tcW w:type="dxa" w:w="6750"/>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Differentially expressed gene</w:t>
            </w:r>
          </w:p>
        </w:tc>
      </w:tr>
      <w:tr>
        <w:trPr>
          <w:cantSplit/>
        </w:trPr>
        <w:tc>
          <w:tcPr>
            <w:tcW w:type="dxa" w:w="2600"/>
            <w:shd w:fill="EFF2EE" w:color="auto" w:val="clear"/>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WGCNA</w:t>
            </w:r>
          </w:p>
        </w:tc>
        <w:tc>
          <w:tcPr>
            <w:tcW w:type="dxa" w:w="6750"/>
            <w:shd w:fill="EFF2EE" w:color="auto" w:val="clear"/>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Weighted gene co-expression network analysis</w:t>
            </w:r>
          </w:p>
        </w:tc>
      </w:tr>
      <w:tr>
        <w:trPr>
          <w:cantSplit/>
        </w:trPr>
        <w:tc>
          <w:tcPr>
            <w:tcW w:type="dxa" w:w="2600"/>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Module eigengene</w:t>
            </w:r>
          </w:p>
        </w:tc>
        <w:tc>
          <w:tcPr>
            <w:tcW w:type="dxa" w:w="6750"/>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First principal component of a co-expression module; its summary expression profile</w:t>
            </w:r>
          </w:p>
        </w:tc>
      </w:tr>
      <w:tr>
        <w:trPr>
          <w:cantSplit/>
        </w:trPr>
        <w:tc>
          <w:tcPr>
            <w:tcW w:type="dxa" w:w="2600"/>
            <w:shd w:fill="EFF2EE" w:color="auto" w:val="clear"/>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Soft-thresholding power (β)</w:t>
            </w:r>
          </w:p>
        </w:tc>
        <w:tc>
          <w:tcPr>
            <w:tcW w:type="dxa" w:w="6750"/>
            <w:shd w:fill="EFF2EE" w:color="auto" w:val="clear"/>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Exponent applied to correlations so the network approximates scale-free topology</w:t>
            </w:r>
          </w:p>
        </w:tc>
      </w:tr>
      <w:tr>
        <w:trPr>
          <w:cantSplit/>
        </w:trPr>
        <w:tc>
          <w:tcPr>
            <w:tcW w:type="dxa" w:w="2600"/>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TOM</w:t>
            </w:r>
          </w:p>
        </w:tc>
        <w:tc>
          <w:tcPr>
            <w:tcW w:type="dxa" w:w="6750"/>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Topological overlap matrix — similarity based on shared network neighbours</w:t>
            </w:r>
          </w:p>
        </w:tc>
      </w:tr>
      <w:tr>
        <w:trPr>
          <w:cantSplit/>
        </w:trPr>
        <w:tc>
          <w:tcPr>
            <w:tcW w:type="dxa" w:w="2600"/>
            <w:shd w:fill="EFF2EE" w:color="auto" w:val="clear"/>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Hub gene</w:t>
            </w:r>
          </w:p>
        </w:tc>
        <w:tc>
          <w:tcPr>
            <w:tcW w:type="dxa" w:w="6750"/>
            <w:shd w:fill="EFF2EE" w:color="auto" w:val="clear"/>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Highly connected gene within a module; candidate biomarker or driver</w:t>
            </w:r>
          </w:p>
        </w:tc>
      </w:tr>
      <w:tr>
        <w:trPr>
          <w:cantSplit/>
        </w:trPr>
        <w:tc>
          <w:tcPr>
            <w:tcW w:type="dxa" w:w="2600"/>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LASSO</w:t>
            </w:r>
          </w:p>
        </w:tc>
        <w:tc>
          <w:tcPr>
            <w:tcW w:type="dxa" w:w="6750"/>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L1-regularised regression that shrinks redundant coefficients to zero</w:t>
            </w:r>
          </w:p>
        </w:tc>
      </w:tr>
      <w:tr>
        <w:trPr>
          <w:cantSplit/>
        </w:trPr>
        <w:tc>
          <w:tcPr>
            <w:tcW w:type="dxa" w:w="2600"/>
            <w:shd w:fill="EFF2EE" w:color="auto" w:val="clear"/>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SVM-RFE</w:t>
            </w:r>
          </w:p>
        </w:tc>
        <w:tc>
          <w:tcPr>
            <w:tcW w:type="dxa" w:w="6750"/>
            <w:shd w:fill="EFF2EE" w:color="auto" w:val="clear"/>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Support vector machine recursive feature elimination</w:t>
            </w:r>
          </w:p>
        </w:tc>
      </w:tr>
      <w:tr>
        <w:trPr>
          <w:cantSplit/>
        </w:trPr>
        <w:tc>
          <w:tcPr>
            <w:tcW w:type="dxa" w:w="2600"/>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ROC-AUC</w:t>
            </w:r>
          </w:p>
        </w:tc>
        <w:tc>
          <w:tcPr>
            <w:tcW w:type="dxa" w:w="6750"/>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Area under the receiver operating characteristic curve; 0.5 = chance, 1.0 = perfect</w:t>
            </w:r>
          </w:p>
        </w:tc>
      </w:tr>
      <w:tr>
        <w:trPr>
          <w:cantSplit/>
        </w:trPr>
        <w:tc>
          <w:tcPr>
            <w:tcW w:type="dxa" w:w="2600"/>
            <w:shd w:fill="EFF2EE" w:color="auto" w:val="clear"/>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Pseudobulk</w:t>
            </w:r>
          </w:p>
        </w:tc>
        <w:tc>
          <w:tcPr>
            <w:tcW w:type="dxa" w:w="6750"/>
            <w:shd w:fill="EFF2EE" w:color="auto" w:val="clear"/>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Aggregating single cells per donor to avoid pseudoreplication</w:t>
            </w:r>
          </w:p>
        </w:tc>
      </w:tr>
      <w:tr>
        <w:trPr>
          <w:cantSplit/>
        </w:trPr>
        <w:tc>
          <w:tcPr>
            <w:tcW w:type="dxa" w:w="2600"/>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ΔG</w:t>
            </w:r>
          </w:p>
        </w:tc>
        <w:tc>
          <w:tcPr>
            <w:tcW w:type="dxa" w:w="6750"/>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Gibbs free energy of binding from docking, in kcal/mol; more negative = stronger predicted binding</w:t>
            </w:r>
          </w:p>
        </w:tc>
      </w:tr>
      <w:tr>
        <w:trPr>
          <w:cantSplit/>
        </w:trPr>
        <w:tc>
          <w:tcPr>
            <w:tcW w:type="dxa" w:w="2600"/>
            <w:shd w:fill="EFF2EE" w:color="auto" w:val="clear"/>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GSE / GSM / GPL</w:t>
            </w:r>
          </w:p>
        </w:tc>
        <w:tc>
          <w:tcPr>
            <w:tcW w:type="dxa" w:w="6750"/>
            <w:shd w:fill="EFF2EE" w:color="auto" w:val="clear"/>
            <w:tcMar>
              <w:top w:type="dxa" w:w="80"/>
              <w:left w:type="dxa" w:w="100"/>
              <w:bottom w:type="dxa" w:w="80"/>
              <w:right w:type="dxa" w:w="100"/>
            </w:tcMar>
            <w:vAlign w:val="center"/>
          </w:tcPr>
          <w:p>
            <w:pPr>
              <w:spacing w:after="0" w:before="0" w:line="258"/>
            </w:pPr>
            <w:r>
              <w:rPr>
                <w:rFonts w:ascii="Calibri" w:cs="Calibri" w:eastAsia="Calibri" w:hAnsi="Calibri"/>
                <w:b w:val="false"/>
                <w:bCs w:val="false"/>
                <w:color w:val="000000"/>
                <w:sz w:val="19"/>
                <w:szCs w:val="19"/>
              </w:rPr>
              <w:t xml:space="preserve">GEO accession prefixes for a study, a sample, and a platform respectively</w:t>
            </w:r>
          </w:p>
        </w:tc>
      </w:tr>
    </w:tbl>
    <w:p>
      <w:pPr>
        <w:pStyle w:val="Heading1"/>
        <w:pBdr>
          <w:bottom w:val="single" w:color="24503F" w:sz="6" w:space="4"/>
        </w:pBdr>
        <w:spacing w:after="130" w:before="300"/>
      </w:pPr>
      <w:r>
        <w:rPr>
          <w:rFonts w:ascii="Cambria" w:cs="Cambria" w:eastAsia="Cambria" w:hAnsi="Cambria"/>
          <w:b/>
          <w:bCs/>
          <w:color w:val="16332A"/>
          <w:sz w:val="27"/>
          <w:szCs w:val="27"/>
        </w:rPr>
        <w:t xml:space="preserve">References</w:t>
      </w:r>
    </w:p>
    <w:p>
      <w:pPr>
        <w:spacing w:after="90" w:before="0" w:line="264"/>
        <w:ind w:left="400" w:hanging="400"/>
      </w:pPr>
      <w:r>
        <w:rPr>
          <w:rFonts w:ascii="Calibri" w:cs="Calibri" w:eastAsia="Calibri" w:hAnsi="Calibri"/>
          <w:b/>
          <w:bCs/>
          <w:color w:val="24503F"/>
          <w:sz w:val="20"/>
          <w:szCs w:val="20"/>
        </w:rPr>
        <w:t xml:space="preserve">[1]  </w:t>
      </w:r>
      <w:r>
        <w:rPr>
          <w:rFonts w:ascii="Calibri" w:cs="Calibri" w:eastAsia="Calibri" w:hAnsi="Calibri"/>
          <w:color w:val="000000"/>
          <w:sz w:val="20"/>
          <w:szCs w:val="20"/>
        </w:rPr>
        <w:t xml:space="preserve">Kumar, A. &amp; Thirumurugan, K. Understanding cellular senescence: pathways involved, therapeutics and longevity aiding. Cell Cycle (2023). doi:10.1080/15384101.2023.2287929</w:t>
      </w:r>
    </w:p>
    <w:p>
      <w:pPr>
        <w:spacing w:after="90" w:before="0" w:line="264"/>
        <w:ind w:left="400" w:hanging="400"/>
      </w:pPr>
      <w:r>
        <w:rPr>
          <w:rFonts w:ascii="Calibri" w:cs="Calibri" w:eastAsia="Calibri" w:hAnsi="Calibri"/>
          <w:b/>
          <w:bCs/>
          <w:color w:val="24503F"/>
          <w:sz w:val="20"/>
          <w:szCs w:val="20"/>
        </w:rPr>
        <w:t xml:space="preserve">[2]  </w:t>
      </w:r>
      <w:r>
        <w:rPr>
          <w:rFonts w:ascii="Calibri" w:cs="Calibri" w:eastAsia="Calibri" w:hAnsi="Calibri"/>
          <w:color w:val="000000"/>
          <w:sz w:val="20"/>
          <w:szCs w:val="20"/>
        </w:rPr>
        <w:t xml:space="preserve">Campisi, J. Cellular senescence and apoptosis: how cellular responses might influence ageing phenotypes. Experimental Gerontology 38, 5–11 (2003).</w:t>
      </w:r>
    </w:p>
    <w:p>
      <w:pPr>
        <w:spacing w:after="90" w:before="0" w:line="264"/>
        <w:ind w:left="400" w:hanging="400"/>
      </w:pPr>
      <w:r>
        <w:rPr>
          <w:rFonts w:ascii="Calibri" w:cs="Calibri" w:eastAsia="Calibri" w:hAnsi="Calibri"/>
          <w:b/>
          <w:bCs/>
          <w:color w:val="24503F"/>
          <w:sz w:val="20"/>
          <w:szCs w:val="20"/>
        </w:rPr>
        <w:t xml:space="preserve">[3]  </w:t>
      </w:r>
      <w:r>
        <w:rPr>
          <w:rFonts w:ascii="Calibri" w:cs="Calibri" w:eastAsia="Calibri" w:hAnsi="Calibri"/>
          <w:color w:val="000000"/>
          <w:sz w:val="20"/>
          <w:szCs w:val="20"/>
        </w:rPr>
        <w:t xml:space="preserve">Cellular senescence links aging and diabetes in cardiovascular disease. American Journal of Physiology — Heart and Circulatory Physiology (2018). doi:10.1152/ajpheart.00287.2018</w:t>
      </w:r>
    </w:p>
    <w:p>
      <w:pPr>
        <w:spacing w:after="90" w:before="0" w:line="264"/>
        <w:ind w:left="400" w:hanging="400"/>
      </w:pPr>
      <w:r>
        <w:rPr>
          <w:rFonts w:ascii="Calibri" w:cs="Calibri" w:eastAsia="Calibri" w:hAnsi="Calibri"/>
          <w:b/>
          <w:bCs/>
          <w:color w:val="24503F"/>
          <w:sz w:val="20"/>
          <w:szCs w:val="20"/>
        </w:rPr>
        <w:t xml:space="preserve">[4]  </w:t>
      </w:r>
      <w:r>
        <w:rPr>
          <w:rFonts w:ascii="Calibri" w:cs="Calibri" w:eastAsia="Calibri" w:hAnsi="Calibri"/>
          <w:color w:val="000000"/>
          <w:sz w:val="20"/>
          <w:szCs w:val="20"/>
        </w:rPr>
        <w:t xml:space="preserve">Pancreatic β-cell senescence in diabetes: mechanisms, markers and therapies. Frontiers in Endocrinology 14, 1212716 (2023).</w:t>
      </w:r>
    </w:p>
    <w:p>
      <w:pPr>
        <w:spacing w:after="90" w:before="0" w:line="264"/>
        <w:ind w:left="400" w:hanging="400"/>
      </w:pPr>
      <w:r>
        <w:rPr>
          <w:rFonts w:ascii="Calibri" w:cs="Calibri" w:eastAsia="Calibri" w:hAnsi="Calibri"/>
          <w:b/>
          <w:bCs/>
          <w:color w:val="24503F"/>
          <w:sz w:val="20"/>
          <w:szCs w:val="20"/>
        </w:rPr>
        <w:t xml:space="preserve">[5]  </w:t>
      </w:r>
      <w:r>
        <w:rPr>
          <w:rFonts w:ascii="Calibri" w:cs="Calibri" w:eastAsia="Calibri" w:hAnsi="Calibri"/>
          <w:color w:val="000000"/>
          <w:sz w:val="20"/>
          <w:szCs w:val="20"/>
        </w:rPr>
        <w:t xml:space="preserve">Senotherapeutics review — Thirumurugan lab. Senolytics and senostats/senomorphs of natural and synthetic origin as interventions against aging and age-related disorders.</w:t>
      </w:r>
    </w:p>
    <w:p>
      <w:pPr>
        <w:spacing w:after="90" w:before="0" w:line="264"/>
        <w:ind w:left="400" w:hanging="400"/>
      </w:pPr>
      <w:r>
        <w:rPr>
          <w:rFonts w:ascii="Calibri" w:cs="Calibri" w:eastAsia="Calibri" w:hAnsi="Calibri"/>
          <w:b/>
          <w:bCs/>
          <w:color w:val="24503F"/>
          <w:sz w:val="20"/>
          <w:szCs w:val="20"/>
        </w:rPr>
        <w:t xml:space="preserve">[6]  </w:t>
      </w:r>
      <w:r>
        <w:rPr>
          <w:rFonts w:ascii="Calibri" w:cs="Calibri" w:eastAsia="Calibri" w:hAnsi="Calibri"/>
          <w:color w:val="000000"/>
          <w:sz w:val="20"/>
          <w:szCs w:val="20"/>
        </w:rPr>
        <w:t xml:space="preserve">Cellular senescence and metabolic aging in type 2 diabetes: mechanistic insights and translational implications. Frontiers in Endocrinology (2026). doi:10.3389/fendo.2026.1799261</w:t>
      </w:r>
    </w:p>
    <w:p>
      <w:pPr>
        <w:spacing w:after="90" w:before="0" w:line="264"/>
        <w:ind w:left="400" w:hanging="400"/>
      </w:pPr>
      <w:r>
        <w:rPr>
          <w:rFonts w:ascii="Calibri" w:cs="Calibri" w:eastAsia="Calibri" w:hAnsi="Calibri"/>
          <w:b/>
          <w:bCs/>
          <w:color w:val="24503F"/>
          <w:sz w:val="20"/>
          <w:szCs w:val="20"/>
        </w:rPr>
        <w:t xml:space="preserve">[7]  </w:t>
      </w:r>
      <w:r>
        <w:rPr>
          <w:rFonts w:ascii="Calibri" w:cs="Calibri" w:eastAsia="Calibri" w:hAnsi="Calibri"/>
          <w:color w:val="000000"/>
          <w:sz w:val="20"/>
          <w:szCs w:val="20"/>
        </w:rPr>
        <w:t xml:space="preserve">Biomarkers of Cellular Senescence in Type 2 Diabetes Mellitus. (T-cell p16 and p21 expression in postmenopausal T2DM, obese non-diabetic, and lean cohorts.)</w:t>
      </w:r>
    </w:p>
    <w:p>
      <w:pPr>
        <w:spacing w:after="90" w:before="0" w:line="264"/>
        <w:ind w:left="400" w:hanging="400"/>
      </w:pPr>
      <w:r>
        <w:rPr>
          <w:rFonts w:ascii="Calibri" w:cs="Calibri" w:eastAsia="Calibri" w:hAnsi="Calibri"/>
          <w:b/>
          <w:bCs/>
          <w:color w:val="24503F"/>
          <w:sz w:val="20"/>
          <w:szCs w:val="20"/>
        </w:rPr>
        <w:t xml:space="preserve">[8]  </w:t>
      </w:r>
      <w:r>
        <w:rPr>
          <w:rFonts w:ascii="Calibri" w:cs="Calibri" w:eastAsia="Calibri" w:hAnsi="Calibri"/>
          <w:color w:val="000000"/>
          <w:sz w:val="20"/>
          <w:szCs w:val="20"/>
        </w:rPr>
        <w:t xml:space="preserve">p21-senescent cells drive pancreatic islet dysfunction through targetable paracrine signaling in type 2 diabetes. JCI Insight (2025). (Source of the β-SenMayo score.)</w:t>
      </w:r>
    </w:p>
    <w:p>
      <w:pPr>
        <w:spacing w:after="90" w:before="0" w:line="264"/>
        <w:ind w:left="400" w:hanging="400"/>
      </w:pPr>
      <w:r>
        <w:rPr>
          <w:rFonts w:ascii="Calibri" w:cs="Calibri" w:eastAsia="Calibri" w:hAnsi="Calibri"/>
          <w:b/>
          <w:bCs/>
          <w:color w:val="24503F"/>
          <w:sz w:val="20"/>
          <w:szCs w:val="20"/>
        </w:rPr>
        <w:t xml:space="preserve">[9]  </w:t>
      </w:r>
      <w:r>
        <w:rPr>
          <w:rFonts w:ascii="Calibri" w:cs="Calibri" w:eastAsia="Calibri" w:hAnsi="Calibri"/>
          <w:color w:val="000000"/>
          <w:sz w:val="20"/>
          <w:szCs w:val="20"/>
        </w:rPr>
        <w:t xml:space="preserve">Identifying potential biomarkers for type 2 diabetes in the adipose tissue of older adults via multiple machine learning algorithms. Scientific Reports (2025). doi:10.1038/s41598-025-29141-9</w:t>
      </w:r>
    </w:p>
    <w:p>
      <w:pPr>
        <w:spacing w:after="90" w:before="0" w:line="264"/>
        <w:ind w:left="400" w:hanging="400"/>
      </w:pPr>
      <w:r>
        <w:rPr>
          <w:rFonts w:ascii="Calibri" w:cs="Calibri" w:eastAsia="Calibri" w:hAnsi="Calibri"/>
          <w:b/>
          <w:bCs/>
          <w:color w:val="24503F"/>
          <w:sz w:val="20"/>
          <w:szCs w:val="20"/>
        </w:rPr>
        <w:t xml:space="preserve">[10]  </w:t>
      </w:r>
      <w:r>
        <w:rPr>
          <w:rFonts w:ascii="Calibri" w:cs="Calibri" w:eastAsia="Calibri" w:hAnsi="Calibri"/>
          <w:color w:val="000000"/>
          <w:sz w:val="20"/>
          <w:szCs w:val="20"/>
        </w:rPr>
        <w:t xml:space="preserve">Javali, P.S. &amp; Thirumurugan, K. Artificial intelligence driven multi-omics framework identifies COL6A3 as a diagnostic biomarker and a putative gene target modulated by Embelin in Colorectal cancer. Frontiers in Oncology 16, 1711079 (2026). doi:10.3389/fonc.2026.1711079</w:t>
      </w:r>
    </w:p>
    <w:p>
      <w:pPr>
        <w:spacing w:after="90" w:before="0" w:line="264"/>
        <w:ind w:left="400" w:hanging="400"/>
      </w:pPr>
      <w:r>
        <w:rPr>
          <w:rFonts w:ascii="Calibri" w:cs="Calibri" w:eastAsia="Calibri" w:hAnsi="Calibri"/>
          <w:b/>
          <w:bCs/>
          <w:color w:val="24503F"/>
          <w:sz w:val="20"/>
          <w:szCs w:val="20"/>
        </w:rPr>
        <w:t xml:space="preserve">[11]  </w:t>
      </w:r>
      <w:r>
        <w:rPr>
          <w:rFonts w:ascii="Calibri" w:cs="Calibri" w:eastAsia="Calibri" w:hAnsi="Calibri"/>
          <w:color w:val="000000"/>
          <w:sz w:val="20"/>
          <w:szCs w:val="20"/>
        </w:rPr>
        <w:t xml:space="preserve">Dominguez, V. et al. GSE25724 — Expression data from type 2 diabetic and non-diabetic isolated human islets. NCBI GEO. (7 non-diabetic, 6 T2D; GPL96 HG-U133A.) Associated publication: Class II phosphoinositide 3-kinase regulates exocytosis of insulin granules in pancreatic beta cells. PMID 21127054.</w:t>
      </w:r>
    </w:p>
    <w:p>
      <w:pPr>
        <w:spacing w:after="90" w:before="0" w:line="264"/>
        <w:ind w:left="400" w:hanging="400"/>
      </w:pPr>
      <w:r>
        <w:rPr>
          <w:rFonts w:ascii="Calibri" w:cs="Calibri" w:eastAsia="Calibri" w:hAnsi="Calibri"/>
          <w:b/>
          <w:bCs/>
          <w:color w:val="24503F"/>
          <w:sz w:val="20"/>
          <w:szCs w:val="20"/>
        </w:rPr>
        <w:t xml:space="preserve">[12]  </w:t>
      </w:r>
      <w:r>
        <w:rPr>
          <w:rFonts w:ascii="Calibri" w:cs="Calibri" w:eastAsia="Calibri" w:hAnsi="Calibri"/>
          <w:color w:val="000000"/>
          <w:sz w:val="20"/>
          <w:szCs w:val="20"/>
        </w:rPr>
        <w:t xml:space="preserve">Mahdi, T. et al. GSE41762 — human islet transcriptomes, 57 non-diabetic and 20 diabetic donors. Cell Metabolism (2012).</w:t>
      </w:r>
    </w:p>
    <w:p>
      <w:pPr>
        <w:spacing w:after="90" w:before="0" w:line="264"/>
        <w:ind w:left="400" w:hanging="400"/>
      </w:pPr>
      <w:r>
        <w:rPr>
          <w:rFonts w:ascii="Calibri" w:cs="Calibri" w:eastAsia="Calibri" w:hAnsi="Calibri"/>
          <w:b/>
          <w:bCs/>
          <w:color w:val="24503F"/>
          <w:sz w:val="20"/>
          <w:szCs w:val="20"/>
        </w:rPr>
        <w:t xml:space="preserve">[13]  </w:t>
      </w:r>
      <w:r>
        <w:rPr>
          <w:rFonts w:ascii="Calibri" w:cs="Calibri" w:eastAsia="Calibri" w:hAnsi="Calibri"/>
          <w:color w:val="000000"/>
          <w:sz w:val="20"/>
          <w:szCs w:val="20"/>
        </w:rPr>
        <w:t xml:space="preserve">Saul, D. et al. A new gene set identifies senescent cells and predicts senescence-associated pathways across tissues. Nature Communications 13, 4827 (2022). doi:10.1038/s41467-022-32552-1</w:t>
      </w:r>
    </w:p>
    <w:p>
      <w:pPr>
        <w:spacing w:after="90" w:before="0" w:line="264"/>
        <w:ind w:left="400" w:hanging="400"/>
      </w:pPr>
      <w:r>
        <w:rPr>
          <w:rFonts w:ascii="Calibri" w:cs="Calibri" w:eastAsia="Calibri" w:hAnsi="Calibri"/>
          <w:b/>
          <w:bCs/>
          <w:color w:val="24503F"/>
          <w:sz w:val="20"/>
          <w:szCs w:val="20"/>
        </w:rPr>
        <w:t xml:space="preserve">[14]  </w:t>
      </w:r>
      <w:r>
        <w:rPr>
          <w:rFonts w:ascii="Calibri" w:cs="Calibri" w:eastAsia="Calibri" w:hAnsi="Calibri"/>
          <w:color w:val="000000"/>
          <w:sz w:val="20"/>
          <w:szCs w:val="20"/>
        </w:rPr>
        <w:t xml:space="preserve">CellAge: The Cell Senescence Gene Database. Human Ageing Genomic Resources. https://genomics.senescence.info/cells/</w:t>
      </w:r>
    </w:p>
    <w:p>
      <w:pPr>
        <w:spacing w:after="90" w:before="0" w:line="264"/>
        <w:ind w:left="400" w:hanging="400"/>
      </w:pPr>
      <w:r>
        <w:rPr>
          <w:rFonts w:ascii="Calibri" w:cs="Calibri" w:eastAsia="Calibri" w:hAnsi="Calibri"/>
          <w:b/>
          <w:bCs/>
          <w:color w:val="24503F"/>
          <w:sz w:val="20"/>
          <w:szCs w:val="20"/>
        </w:rPr>
        <w:t xml:space="preserve">[15]  </w:t>
      </w:r>
      <w:r>
        <w:rPr>
          <w:rFonts w:ascii="Calibri" w:cs="Calibri" w:eastAsia="Calibri" w:hAnsi="Calibri"/>
          <w:color w:val="000000"/>
          <w:sz w:val="20"/>
          <w:szCs w:val="20"/>
        </w:rPr>
        <w:t xml:space="preserve">A tissue ubiquitous gene set for cellular senescence. (Meta-analysis of nine senescence gene sets; overlap and concordance analysis.)</w:t>
      </w:r>
    </w:p>
    <w:p>
      <w:pPr>
        <w:spacing w:after="90" w:before="0" w:line="264"/>
        <w:ind w:left="400" w:hanging="400"/>
      </w:pPr>
      <w:r>
        <w:rPr>
          <w:rFonts w:ascii="Calibri" w:cs="Calibri" w:eastAsia="Calibri" w:hAnsi="Calibri"/>
          <w:b/>
          <w:bCs/>
          <w:color w:val="24503F"/>
          <w:sz w:val="20"/>
          <w:szCs w:val="20"/>
        </w:rPr>
        <w:t xml:space="preserve">[16]  </w:t>
      </w:r>
      <w:r>
        <w:rPr>
          <w:rFonts w:ascii="Calibri" w:cs="Calibri" w:eastAsia="Calibri" w:hAnsi="Calibri"/>
          <w:color w:val="000000"/>
          <w:sz w:val="20"/>
          <w:szCs w:val="20"/>
        </w:rPr>
        <w:t xml:space="preserve">Identification and analysis of type 2 diabetes-mellitus-associated autophagy-related genes. Frontiers in Endocrinology 14, 1164112 (2023). (Documents exclusion of GSM631757 from GSE25724.)</w:t>
      </w:r>
    </w:p>
    <w:p>
      <w:pPr>
        <w:spacing w:after="90" w:before="0" w:line="264"/>
        <w:ind w:left="400" w:hanging="400"/>
      </w:pPr>
      <w:r>
        <w:rPr>
          <w:rFonts w:ascii="Calibri" w:cs="Calibri" w:eastAsia="Calibri" w:hAnsi="Calibri"/>
          <w:b/>
          <w:bCs/>
          <w:color w:val="24503F"/>
          <w:sz w:val="20"/>
          <w:szCs w:val="20"/>
        </w:rPr>
        <w:t xml:space="preserve">[17]  </w:t>
      </w:r>
      <w:r>
        <w:rPr>
          <w:rFonts w:ascii="Calibri" w:cs="Calibri" w:eastAsia="Calibri" w:hAnsi="Calibri"/>
          <w:color w:val="000000"/>
          <w:sz w:val="20"/>
          <w:szCs w:val="20"/>
        </w:rPr>
        <w:t xml:space="preserve">Langfelder, P. &amp; Horvath, S. WGCNA: an R package for weighted correlation network analysis. BMC Bioinformatics 9, 559 (2008). doi:10.1186/1471-2105-9-559</w:t>
      </w:r>
    </w:p>
    <w:p>
      <w:pPr>
        <w:spacing w:after="90" w:before="0" w:line="264"/>
        <w:ind w:left="400" w:hanging="400"/>
      </w:pPr>
      <w:r>
        <w:rPr>
          <w:rFonts w:ascii="Calibri" w:cs="Calibri" w:eastAsia="Calibri" w:hAnsi="Calibri"/>
          <w:b/>
          <w:bCs/>
          <w:color w:val="24503F"/>
          <w:sz w:val="20"/>
          <w:szCs w:val="20"/>
        </w:rPr>
        <w:t xml:space="preserve">[18]  </w:t>
      </w:r>
      <w:r>
        <w:rPr>
          <w:rFonts w:ascii="Calibri" w:cs="Calibri" w:eastAsia="Calibri" w:hAnsi="Calibri"/>
          <w:color w:val="000000"/>
          <w:sz w:val="20"/>
          <w:szCs w:val="20"/>
        </w:rPr>
        <w:t xml:space="preserve">Xin, Y. et al. RNA Sequencing of Single Human Islet Cells Reveals Type 2 Diabetes Genes. Cell Metabolism (2016). (GSE81608.)</w:t>
      </w:r>
    </w:p>
    <w:p>
      <w:pPr>
        <w:spacing w:after="90" w:before="0" w:line="264"/>
        <w:ind w:left="400" w:hanging="400"/>
      </w:pPr>
      <w:r>
        <w:rPr>
          <w:rFonts w:ascii="Calibri" w:cs="Calibri" w:eastAsia="Calibri" w:hAnsi="Calibri"/>
          <w:b/>
          <w:bCs/>
          <w:color w:val="24503F"/>
          <w:sz w:val="20"/>
          <w:szCs w:val="20"/>
        </w:rPr>
        <w:t xml:space="preserve">[19]  </w:t>
      </w:r>
      <w:r>
        <w:rPr>
          <w:rFonts w:ascii="Calibri" w:cs="Calibri" w:eastAsia="Calibri" w:hAnsi="Calibri"/>
          <w:color w:val="000000"/>
          <w:sz w:val="20"/>
          <w:szCs w:val="20"/>
        </w:rPr>
        <w:t xml:space="preserve">Jumper, J. et al. Highly accurate protein structure prediction with AlphaFold. Nature 596, 583–589 (2021). doi:10.1038/s41586-021-03819-2</w:t>
      </w:r>
    </w:p>
    <w:p>
      <w:pPr>
        <w:spacing w:after="90" w:before="0" w:line="264"/>
        <w:ind w:left="400" w:hanging="400"/>
      </w:pPr>
      <w:r>
        <w:rPr>
          <w:rFonts w:ascii="Calibri" w:cs="Calibri" w:eastAsia="Calibri" w:hAnsi="Calibri"/>
          <w:b/>
          <w:bCs/>
          <w:color w:val="24503F"/>
          <w:sz w:val="20"/>
          <w:szCs w:val="20"/>
        </w:rPr>
        <w:t xml:space="preserve">[20]  </w:t>
      </w:r>
      <w:r>
        <w:rPr>
          <w:rFonts w:ascii="Calibri" w:cs="Calibri" w:eastAsia="Calibri" w:hAnsi="Calibri"/>
          <w:color w:val="000000"/>
          <w:sz w:val="20"/>
          <w:szCs w:val="20"/>
        </w:rPr>
        <w:t xml:space="preserve">Trott, O. &amp; Olson, A.J. AutoDock Vina: improving the speed and accuracy of docking with a new scoring function, efficient optimization, and multithreading. Journal of Computational Chemistry 31, 455–461 (2010).</w:t>
      </w:r>
    </w:p>
    <w:p>
      <w:pPr>
        <w:spacing w:after="90" w:before="0" w:line="264"/>
        <w:ind w:left="400" w:hanging="400"/>
      </w:pPr>
      <w:r>
        <w:rPr>
          <w:rFonts w:ascii="Calibri" w:cs="Calibri" w:eastAsia="Calibri" w:hAnsi="Calibri"/>
          <w:b/>
          <w:bCs/>
          <w:color w:val="24503F"/>
          <w:sz w:val="20"/>
          <w:szCs w:val="20"/>
        </w:rPr>
        <w:t xml:space="preserve">[21]  </w:t>
      </w:r>
      <w:r>
        <w:rPr>
          <w:rFonts w:ascii="Calibri" w:cs="Calibri" w:eastAsia="Calibri" w:hAnsi="Calibri"/>
          <w:color w:val="000000"/>
          <w:sz w:val="20"/>
          <w:szCs w:val="20"/>
        </w:rPr>
        <w:t xml:space="preserve">Applications of Artificial Intelligence in Drug Repurposing. Advanced Science 12, 2411325 (2025). (Notes PLAS-20k MD dataset correlating better with experimental values than docking scores.)</w:t>
      </w:r>
    </w:p>
    <w:p>
      <w:pPr>
        <w:spacing w:after="90" w:before="0" w:line="264"/>
        <w:ind w:left="400" w:hanging="400"/>
      </w:pPr>
      <w:r>
        <w:rPr>
          <w:rFonts w:ascii="Calibri" w:cs="Calibri" w:eastAsia="Calibri" w:hAnsi="Calibri"/>
          <w:b/>
          <w:bCs/>
          <w:color w:val="24503F"/>
          <w:sz w:val="20"/>
          <w:szCs w:val="20"/>
        </w:rPr>
        <w:t xml:space="preserve">[22]  </w:t>
      </w:r>
      <w:r>
        <w:rPr>
          <w:rFonts w:ascii="Calibri" w:cs="Calibri" w:eastAsia="Calibri" w:hAnsi="Calibri"/>
          <w:color w:val="000000"/>
          <w:sz w:val="20"/>
          <w:szCs w:val="20"/>
        </w:rPr>
        <w:t xml:space="preserve">Identification of key gene pathways and coexpression networks of islets in human type 2 diabetes. (WGCNA on GSE41762.)</w:t>
      </w:r>
    </w:p>
    <w:p>
      <w:pPr>
        <w:spacing w:after="90" w:before="0" w:line="264"/>
        <w:ind w:left="400" w:hanging="400"/>
      </w:pPr>
      <w:r>
        <w:rPr>
          <w:rFonts w:ascii="Calibri" w:cs="Calibri" w:eastAsia="Calibri" w:hAnsi="Calibri"/>
          <w:b/>
          <w:bCs/>
          <w:color w:val="24503F"/>
          <w:sz w:val="20"/>
          <w:szCs w:val="20"/>
        </w:rPr>
        <w:t xml:space="preserve">[23]  </w:t>
      </w:r>
      <w:r>
        <w:rPr>
          <w:rFonts w:ascii="Calibri" w:cs="Calibri" w:eastAsia="Calibri" w:hAnsi="Calibri"/>
          <w:color w:val="000000"/>
          <w:sz w:val="20"/>
          <w:szCs w:val="20"/>
        </w:rPr>
        <w:t xml:space="preserve">Okonta, C., Ogunyemi, O.M., Olabuntu, B. &amp; Abolaji, A.O. Ameliorative role of naringenin in MPTP-induced Parkinsonism: Insights from Drosophila melanogaster experimental model combined with computational biology. Toxicology Reports 14, 102004 (2025). doi:10.1016/j.toxrep.2025.102004</w:t>
      </w:r>
    </w:p>
    <w:p>
      <w:pPr>
        <w:spacing w:after="0" w:before="200"/>
      </w:pPr>
      <w:r>
        <w:rPr>
          <w:rFonts w:ascii="Calibri" w:cs="Calibri" w:eastAsia="Calibri" w:hAnsi="Calibri"/>
          <w:i/>
          <w:iCs/>
          <w:color w:val="5C6660"/>
          <w:sz w:val="19"/>
          <w:szCs w:val="19"/>
        </w:rPr>
        <w:t xml:space="preserve">Note on references: entries [5], [7], [15] and [22] are cited from secondary encounters in the literature search and should be checked against the primary record before formal submission. All GEO sample counts stated in this report were verified against the GEO record or a published reanalysis that reports them explicitly.</w:t>
      </w:r>
    </w:p>
    <w:sectPr>
      <w:pgSz w:w="11906" w:h="16838" w:orient="portrait"/>
      <w:pgMar w:top="1080" w:right="1130" w:bottom="1080" w:left="113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2026-08-17T21:03:55.699Z</dcterms:created>
  <dcterms:modified xsi:type="dcterms:W3CDTF">2026-08-17T21:03:55.714Z</dcterms:modified>
</cp:coreProperties>
</file>

<file path=docProps/custom.xml><?xml version="1.0" encoding="utf-8"?>
<Properties xmlns="http://schemas.openxmlformats.org/officeDocument/2006/custom-properties" xmlns:vt="http://schemas.openxmlformats.org/officeDocument/2006/docPropsVTypes"/>
</file>