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aps/>
          <w:color w:val="595959"/>
          <w:sz w:val="20"/>
          <w:szCs w:val="20"/>
        </w:rPr>
        <w:t xml:space="preserve">Research Proposal — Revised</w:t>
      </w:r>
    </w:p>
    <w:p>
      <w:pPr>
        <w:spacing w:after="160" w:before="0"/>
      </w:pPr>
      <w:r>
        <w:rPr>
          <w:rFonts w:ascii="Calibri" w:cs="Calibri" w:eastAsia="Calibri" w:hAnsi="Calibri"/>
          <w:b/>
          <w:bCs/>
          <w:color w:val="1F3864"/>
          <w:sz w:val="29"/>
          <w:szCs w:val="29"/>
        </w:rPr>
        <w:t xml:space="preserve">A Cross-Tissue Senescence Hub-Gene Signature in Type 2 Diabetes: Multi-Algorithm Machine Learning Convergence and Structural Docking Across Pancreatic Islets and Adipose Tissue</w:t>
      </w:r>
    </w:p>
    <w:p>
      <w:pPr>
        <w:spacing w:after="60" w:before="0"/>
      </w:pPr>
      <w:r>
        <w:rPr>
          <w:rFonts w:ascii="Calibri" w:cs="Calibri" w:eastAsia="Calibri" w:hAnsi="Calibri"/>
          <w:b/>
          <w:bCs/>
          <w:color w:val="595959"/>
          <w:sz w:val="20"/>
          <w:szCs w:val="20"/>
        </w:rPr>
        <w:t xml:space="preserve">Prepared for: </w:t>
      </w:r>
      <w:r>
        <w:rPr>
          <w:rFonts w:ascii="Calibri" w:cs="Calibri" w:eastAsia="Calibri" w:hAnsi="Calibri"/>
          <w:color w:val="000000"/>
          <w:sz w:val="20"/>
          <w:szCs w:val="20"/>
        </w:rPr>
        <w:t xml:space="preserve">Dr. Kavitha Thirumurugan, Professor, School of Biosciences &amp; Technology, VIT Vellore</w:t>
      </w:r>
    </w:p>
    <w:p>
      <w:pPr>
        <w:spacing w:after="60" w:before="0"/>
      </w:pPr>
      <w:r>
        <w:rPr>
          <w:rFonts w:ascii="Calibri" w:cs="Calibri" w:eastAsia="Calibri" w:hAnsi="Calibri"/>
          <w:b/>
          <w:bCs/>
          <w:color w:val="595959"/>
          <w:sz w:val="20"/>
          <w:szCs w:val="20"/>
        </w:rPr>
        <w:t xml:space="preserve">Prepared by: </w:t>
      </w:r>
      <w:r>
        <w:rPr>
          <w:rFonts w:ascii="Calibri" w:cs="Calibri" w:eastAsia="Calibri" w:hAnsi="Calibri"/>
          <w:color w:val="000000"/>
          <w:sz w:val="20"/>
          <w:szCs w:val="20"/>
        </w:rPr>
        <w:t xml:space="preserve">Juvas — B.Tech Biotechnology, VIT Vellore</w:t>
      </w:r>
    </w:p>
    <w:p>
      <w:pPr>
        <w:spacing w:after="300" w:before="0"/>
      </w:pPr>
      <w:r>
        <w:rPr>
          <w:rFonts w:ascii="Calibri" w:cs="Calibri" w:eastAsia="Calibri" w:hAnsi="Calibri"/>
          <w:b/>
          <w:bCs/>
          <w:i/>
          <w:iCs/>
          <w:color w:val="9C4221"/>
          <w:sz w:val="19"/>
          <w:szCs w:val="19"/>
        </w:rPr>
        <w:t xml:space="preserve">Note: </w:t>
      </w:r>
      <w:r>
        <w:rPr>
          <w:rFonts w:ascii="Calibri" w:cs="Calibri" w:eastAsia="Calibri" w:hAnsi="Calibri"/>
          <w:i/>
          <w:iCs/>
          <w:color w:val="9C4221"/>
          <w:sz w:val="19"/>
          <w:szCs w:val="19"/>
        </w:rPr>
        <w:t xml:space="preserve">This version corrects adipose dataset sample counts and platforms following independent GEO metadata verification (Section 5).</w:t>
      </w:r>
    </w:p>
    <w:p>
      <w:pPr>
        <w:pStyle w:val="Heading1"/>
        <w:pBdr>
          <w:bottom w:val="single" w:color="2E5395" w:sz="6" w:space="4"/>
        </w:pBdr>
        <w:spacing w:after="120" w:before="280"/>
      </w:pPr>
      <w:r>
        <w:rPr>
          <w:rFonts w:ascii="Calibri" w:cs="Calibri" w:eastAsia="Calibri" w:hAnsi="Calibri"/>
          <w:b/>
          <w:bCs/>
          <w:color w:val="1F3864"/>
          <w:sz w:val="26"/>
          <w:szCs w:val="26"/>
        </w:rPr>
        <w:t xml:space="preserve">1. Background &amp; Rationale</w:t>
      </w:r>
    </w:p>
    <w:p>
      <w:pPr>
        <w:spacing w:after="120" w:before="0" w:line="276"/>
      </w:pPr>
      <w:r>
        <w:rPr>
          <w:rFonts w:ascii="Calibri" w:cs="Calibri" w:eastAsia="Calibri" w:hAnsi="Calibri"/>
          <w:color w:val="000000"/>
          <w:sz w:val="22"/>
          <w:szCs w:val="22"/>
        </w:rPr>
        <w:t xml:space="preserve">Cellular senescence — irreversible cell-cycle arrest accompanied by a senescence-associated secretory phenotype (SASP) — is increasingly recognized as a mechanistic driver of Type 2 Diabetes Mellitus (T2DM) across multiple tissues. In pancreatic β-cells, senescence contributes to progressive insulin secretory failure; in adipose tissue, accumulation of senescent adipocyte progenitors drives insulin resistance and chronic low-grade inflammation. Both processes converge on the same clinical outcome, but whether they share a common molecular signature or represent tissue-specific programs has not been directly tested.</w:t>
      </w:r>
    </w:p>
    <w:p>
      <w:pPr>
        <w:spacing w:after="120" w:before="0" w:line="276"/>
      </w:pPr>
      <w:r>
        <w:rPr>
          <w:rFonts w:ascii="Calibri" w:cs="Calibri" w:eastAsia="Calibri" w:hAnsi="Calibri"/>
          <w:color w:val="000000"/>
          <w:sz w:val="22"/>
          <w:szCs w:val="22"/>
        </w:rPr>
        <w:t xml:space="preserve">Dr. Thirumurugan's lab operates across three pillars directly relevant here: phytocompound modulation of autophagy and metabolic dysregulation (naringenin, in diabetic models), cellular senescence signaling and senotherapeutics, and adipogenesis research (Hox gene expression, RNF213). This proposal bridges the senescence and adipogenesis pillars directly, while extending the lab's 2026 multi-omics AI methodology (Javali &amp; Thirumurugan, Frontiers in Oncology) — WGCNA, three-algorithm ML convergence, and structural docking — to a second tissue system in parallel.</w:t>
      </w:r>
    </w:p>
    <w:p>
      <w:pPr>
        <w:pStyle w:val="Heading1"/>
        <w:pBdr>
          <w:bottom w:val="single" w:color="2E5395" w:sz="6" w:space="4"/>
        </w:pBdr>
        <w:spacing w:after="120" w:before="280"/>
      </w:pPr>
      <w:r>
        <w:rPr>
          <w:rFonts w:ascii="Calibri" w:cs="Calibri" w:eastAsia="Calibri" w:hAnsi="Calibri"/>
          <w:b/>
          <w:bCs/>
          <w:color w:val="1F3864"/>
          <w:sz w:val="26"/>
          <w:szCs w:val="26"/>
        </w:rPr>
        <w:t xml:space="preserve">2. Research Question &amp; Novelty</w:t>
      </w:r>
    </w:p>
    <w:p>
      <w:pPr>
        <w:spacing w:after="120" w:before="0" w:line="276"/>
      </w:pPr>
      <w:r>
        <w:rPr>
          <w:rFonts w:ascii="Calibri" w:cs="Calibri" w:eastAsia="Calibri" w:hAnsi="Calibri"/>
          <w:color w:val="000000"/>
          <w:sz w:val="22"/>
          <w:szCs w:val="22"/>
        </w:rPr>
        <w:t xml:space="preserve">No published study has directly compared senescence-filtered, ML-derived hub-gene signatures across pancreatic islet and adipose tissue within T2DM. Both individual pipelines (WGCNA + LASSO/SVM-RFE/Random Forest on islet data; the same on adipose data) have independent precedent, de-risking execution — but the cross-tissue comparison itself is unexplored territory.</w:t>
      </w:r>
    </w:p>
    <w:p>
      <w:pPr>
        <w:pStyle w:val="ListParagraph"/>
        <w:numPr>
          <w:ilvl w:val="0"/>
          <w:numId w:val="2"/>
        </w:numPr>
        <w:spacing w:after="80" w:before="0" w:line="276"/>
      </w:pPr>
      <w:r>
        <w:rPr>
          <w:rFonts w:ascii="Calibri" w:cs="Calibri" w:eastAsia="Calibri" w:hAnsi="Calibri"/>
          <w:color w:val="000000"/>
          <w:sz w:val="22"/>
          <w:szCs w:val="22"/>
        </w:rPr>
        <w:t xml:space="preserve">Central question: is there a shared senescence hub-gene signature across islet and adipose tissue in T2DM, or is senescence-driven dysfunction tissue-specific?</w:t>
      </w:r>
    </w:p>
    <w:p>
      <w:pPr>
        <w:pStyle w:val="ListParagraph"/>
        <w:numPr>
          <w:ilvl w:val="0"/>
          <w:numId w:val="2"/>
        </w:numPr>
        <w:spacing w:after="80" w:before="0" w:line="276"/>
      </w:pPr>
      <w:r>
        <w:rPr>
          <w:rFonts w:ascii="Calibri" w:cs="Calibri" w:eastAsia="Calibri" w:hAnsi="Calibri"/>
          <w:color w:val="000000"/>
          <w:sz w:val="22"/>
          <w:szCs w:val="22"/>
        </w:rPr>
        <w:t xml:space="preserve">Because both arms use native human transcriptomic data, the comparison requires no cross-species ortholog mapping — hub genes can be intersected directly.</w:t>
      </w:r>
    </w:p>
    <w:p>
      <w:pPr>
        <w:pStyle w:val="ListParagraph"/>
        <w:numPr>
          <w:ilvl w:val="0"/>
          <w:numId w:val="2"/>
        </w:numPr>
        <w:spacing w:after="80" w:before="0" w:line="276"/>
      </w:pPr>
      <w:r>
        <w:rPr>
          <w:rFonts w:ascii="Calibri" w:cs="Calibri" w:eastAsia="Calibri" w:hAnsi="Calibri"/>
          <w:color w:val="000000"/>
          <w:sz w:val="22"/>
          <w:szCs w:val="22"/>
        </w:rPr>
        <w:t xml:space="preserve">A shared hub gene would represent a higher-value therapeutic target (relevant across two disease-driving tissues); a tissue-specific split would itself be a meaningful, citable finding.</w:t>
      </w:r>
    </w:p>
    <w:p>
      <w:pPr>
        <w:pStyle w:val="Heading1"/>
        <w:pBdr>
          <w:bottom w:val="single" w:color="2E5395" w:sz="6" w:space="4"/>
        </w:pBdr>
        <w:spacing w:after="120" w:before="280"/>
      </w:pPr>
      <w:r>
        <w:rPr>
          <w:rFonts w:ascii="Calibri" w:cs="Calibri" w:eastAsia="Calibri" w:hAnsi="Calibri"/>
          <w:b/>
          <w:bCs/>
          <w:color w:val="1F3864"/>
          <w:sz w:val="26"/>
          <w:szCs w:val="26"/>
        </w:rPr>
        <w:t xml:space="preserve">3. Objectives</w:t>
      </w:r>
    </w:p>
    <w:p>
      <w:pPr>
        <w:pStyle w:val="ListParagraph"/>
        <w:numPr>
          <w:ilvl w:val="0"/>
          <w:numId w:val="2"/>
        </w:numPr>
        <w:spacing w:after="80" w:before="0" w:line="276"/>
      </w:pPr>
      <w:r>
        <w:rPr>
          <w:rFonts w:ascii="Calibri" w:cs="Calibri" w:eastAsia="Calibri" w:hAnsi="Calibri"/>
          <w:color w:val="000000"/>
          <w:sz w:val="22"/>
          <w:szCs w:val="22"/>
        </w:rPr>
        <w:t xml:space="preserve">Independently identify senescence-associated hub genes in diabetic pancreatic islets and adipose tissue using parallel WGCNA + three-algorithm ML pipelines.</w:t>
      </w:r>
    </w:p>
    <w:p>
      <w:pPr>
        <w:pStyle w:val="ListParagraph"/>
        <w:numPr>
          <w:ilvl w:val="0"/>
          <w:numId w:val="2"/>
        </w:numPr>
        <w:spacing w:after="80" w:before="0" w:line="276"/>
      </w:pPr>
      <w:r>
        <w:rPr>
          <w:rFonts w:ascii="Calibri" w:cs="Calibri" w:eastAsia="Calibri" w:hAnsi="Calibri"/>
          <w:color w:val="000000"/>
          <w:sz w:val="22"/>
          <w:szCs w:val="22"/>
        </w:rPr>
        <w:t xml:space="preserve">Cross-validate each panel against an independent cohort within its own tissue type.</w:t>
      </w:r>
    </w:p>
    <w:p>
      <w:pPr>
        <w:pStyle w:val="ListParagraph"/>
        <w:numPr>
          <w:ilvl w:val="0"/>
          <w:numId w:val="2"/>
        </w:numPr>
        <w:spacing w:after="80" w:before="0" w:line="276"/>
      </w:pPr>
      <w:r>
        <w:rPr>
          <w:rFonts w:ascii="Calibri" w:cs="Calibri" w:eastAsia="Calibri" w:hAnsi="Calibri"/>
          <w:color w:val="000000"/>
          <w:sz w:val="22"/>
          <w:szCs w:val="22"/>
        </w:rPr>
        <w:t xml:space="preserve">Confirm β-cell specificity of islet hub genes using single-cell data (GSE81608).</w:t>
      </w:r>
    </w:p>
    <w:p>
      <w:pPr>
        <w:pStyle w:val="ListParagraph"/>
        <w:numPr>
          <w:ilvl w:val="0"/>
          <w:numId w:val="2"/>
        </w:numPr>
        <w:spacing w:after="80" w:before="0" w:line="276"/>
      </w:pPr>
      <w:r>
        <w:rPr>
          <w:rFonts w:ascii="Calibri" w:cs="Calibri" w:eastAsia="Calibri" w:hAnsi="Calibri"/>
          <w:color w:val="000000"/>
          <w:sz w:val="22"/>
          <w:szCs w:val="22"/>
        </w:rPr>
        <w:t xml:space="preserve">Classify resulting hub genes as shared or tissue-specific, and interpret the functional divergence via GO/KEGG enrichment.</w:t>
      </w:r>
    </w:p>
    <w:p>
      <w:pPr>
        <w:pStyle w:val="ListParagraph"/>
        <w:numPr>
          <w:ilvl w:val="0"/>
          <w:numId w:val="2"/>
        </w:numPr>
        <w:spacing w:after="80" w:before="0" w:line="276"/>
      </w:pPr>
      <w:r>
        <w:rPr>
          <w:rFonts w:ascii="Calibri" w:cs="Calibri" w:eastAsia="Calibri" w:hAnsi="Calibri"/>
          <w:color w:val="000000"/>
          <w:sz w:val="22"/>
          <w:szCs w:val="22"/>
        </w:rPr>
        <w:t xml:space="preserve">Predict/retrieve the 3D structure of the prioritized target(s) and dock a panel of phytocompounds from the lab's tested library.</w:t>
      </w:r>
    </w:p>
    <w:p>
      <w:pPr>
        <w:pStyle w:val="Heading1"/>
        <w:pBdr>
          <w:bottom w:val="single" w:color="2E5395" w:sz="6" w:space="4"/>
        </w:pBdr>
        <w:spacing w:after="120" w:before="280"/>
      </w:pPr>
      <w:r>
        <w:rPr>
          <w:rFonts w:ascii="Calibri" w:cs="Calibri" w:eastAsia="Calibri" w:hAnsi="Calibri"/>
          <w:b/>
          <w:bCs/>
          <w:color w:val="1F3864"/>
          <w:sz w:val="26"/>
          <w:szCs w:val="26"/>
        </w:rPr>
        <w:t xml:space="preserve">4. Proposed Methodology</w:t>
      </w:r>
    </w:p>
    <w:p>
      <w:pPr>
        <w:pStyle w:val="Heading2"/>
        <w:spacing w:after="90" w:before="180"/>
      </w:pPr>
      <w:r>
        <w:rPr>
          <w:rFonts w:ascii="Calibri" w:cs="Calibri" w:eastAsia="Calibri" w:hAnsi="Calibri"/>
          <w:b/>
          <w:bCs/>
          <w:color w:val="2E5395"/>
          <w:sz w:val="23"/>
          <w:szCs w:val="23"/>
        </w:rPr>
        <w:t xml:space="preserve">4.1 Parallel Discovery Pipelines</w:t>
      </w:r>
    </w:p>
    <w:p>
      <w:pPr>
        <w:spacing w:after="120" w:before="0" w:line="276"/>
      </w:pPr>
      <w:r>
        <w:rPr>
          <w:rFonts w:ascii="Calibri" w:cs="Calibri" w:eastAsia="Calibri" w:hAnsi="Calibri"/>
          <w:color w:val="000000"/>
          <w:sz w:val="22"/>
          <w:szCs w:val="22"/>
        </w:rPr>
        <w:t xml:space="preserve">Both tissue arms run the identical, independently-precedented pipeline; only the input datasets differ. Note that the adipose cohorts are smaller than the islet cohorts (Section 5), so the adipose arm's diagnostic accuracy threshold is set slightly lower to reflect realistic statistical power rather than an inflated 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25"/>
        <w:gridCol w:w="3725"/>
      </w:tblGrid>
      <w:tr>
        <w:trPr>
          <w:cantSplit/>
          <w:tblHeader/>
        </w:trPr>
        <w:tc>
          <w:tcPr>
            <w:tcW w:type="dxa" w:w="19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Stage</w:t>
            </w:r>
          </w:p>
        </w:tc>
        <w:tc>
          <w:tcPr>
            <w:tcW w:type="dxa" w:w="3725"/>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Islet Arm</w:t>
            </w:r>
          </w:p>
        </w:tc>
        <w:tc>
          <w:tcPr>
            <w:tcW w:type="dxa" w:w="3725"/>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Adipose Arm</w:t>
            </w:r>
          </w:p>
        </w:tc>
      </w:tr>
      <w:tr>
        <w:trPr>
          <w:cantSplit/>
        </w:trPr>
        <w:tc>
          <w:tcPr>
            <w:tcW w:type="dxa" w:w="19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 Acquisition &amp; normalization</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GSE41762, GSE38642, GSE20966 — RMA, ComBat</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GSE27951, GSE16415, GSE71416 — RMA/platform-appropriate normalization, ComBat</w:t>
            </w:r>
          </w:p>
        </w:tc>
      </w:tr>
      <w:tr>
        <w:trPr>
          <w:cantSplit/>
        </w:trPr>
        <w:tc>
          <w:tcPr>
            <w:tcW w:type="dxa" w:w="19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2. Senescence gene filter</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Intersect DEGs with SenMayo, CellAge, GenAge</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Intersect DEGs with SenMayo, CellAge, GenAge</w:t>
            </w:r>
          </w:p>
        </w:tc>
      </w:tr>
      <w:tr>
        <w:trPr>
          <w:cantSplit/>
        </w:trPr>
        <w:tc>
          <w:tcPr>
            <w:tcW w:type="dxa" w:w="19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3. WGCNA + 3-way ML convergence</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WGCNA on GSE41762 (n=77); LASSO + SVM-RFE + RF; ROC-AUC ≥ 0.85 on GSE38642 (n=63)</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WGCNA on GSE27951 (n=21); LASSO + SVM-RFE + RF; ROC-AUC ≥ 0.80 on GSE71416 given smaller cohort sizes</w:t>
            </w:r>
          </w:p>
        </w:tc>
      </w:tr>
      <w:tr>
        <w:trPr>
          <w:cantSplit/>
        </w:trPr>
        <w:tc>
          <w:tcPr>
            <w:tcW w:type="dxa" w:w="19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4. Single-cell / specificity check</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GSE81608 pseudobulk confirms β-cell origin</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N/A — bulk tissue only (no matched adipose scRNA in scope)</w:t>
            </w:r>
          </w:p>
        </w:tc>
      </w:tr>
    </w:tbl>
    <w:p>
      <w:pPr>
        <w:pStyle w:val="Heading2"/>
        <w:spacing w:after="90" w:before="180"/>
      </w:pPr>
      <w:r>
        <w:rPr>
          <w:rFonts w:ascii="Calibri" w:cs="Calibri" w:eastAsia="Calibri" w:hAnsi="Calibri"/>
          <w:b/>
          <w:bCs/>
          <w:color w:val="2E5395"/>
          <w:sz w:val="23"/>
          <w:szCs w:val="23"/>
        </w:rPr>
        <w:t xml:space="preserve">4.2 Cross-Tissue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blHeader/>
        </w:trPr>
        <w:tc>
          <w:tcPr>
            <w:tcW w:type="dxa" w:w="24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Step</w:t>
            </w:r>
          </w:p>
        </w:tc>
        <w:tc>
          <w:tcPr>
            <w:tcW w:type="dxa" w:w="69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Task</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Direct intersection</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Compare the two hub-gene panels directly (human-native data on both arms; no cross-species mapping needed)</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Shared vs. tissue-specific split</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Classify hub genes as shared (present in both panels) or tissue-specific (present in one only)</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Functional re-annotation</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GO/KEGG enrichment separately on shared vs. tissue-specific sets to interpret biological divergence</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Docking target selection</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If a shared hub gene emerges, prioritize it for docking (broader relevance); otherwise dock top candidate from each tissue separately</w:t>
            </w:r>
          </w:p>
        </w:tc>
      </w:tr>
    </w:tbl>
    <w:p>
      <w:pPr>
        <w:pStyle w:val="Heading2"/>
        <w:spacing w:after="90" w:before="180"/>
      </w:pPr>
      <w:r>
        <w:rPr>
          <w:rFonts w:ascii="Calibri" w:cs="Calibri" w:eastAsia="Calibri" w:hAnsi="Calibri"/>
          <w:b/>
          <w:bCs/>
          <w:color w:val="2E5395"/>
          <w:sz w:val="23"/>
          <w:szCs w:val="23"/>
        </w:rPr>
        <w:t xml:space="preserve">4.3 Structural Validation</w:t>
      </w:r>
    </w:p>
    <w:p>
      <w:pPr>
        <w:spacing w:after="120" w:before="0" w:line="276"/>
      </w:pPr>
      <w:r>
        <w:rPr>
          <w:rFonts w:ascii="Calibri" w:cs="Calibri" w:eastAsia="Calibri" w:hAnsi="Calibri"/>
          <w:color w:val="000000"/>
          <w:sz w:val="22"/>
          <w:szCs w:val="22"/>
        </w:rPr>
        <w:t xml:space="preserve">The prioritized hub gene(s) — shared or tissue-specific — proceed to structural modeling (AlphaFold2/RCSB PDB) and docking (AutoDock Vina, HADDOCK) against a comparative phytocompound panel (Section 6), scored by binding energy (ΔG), contact residues, and predicted selectivity.</w:t>
      </w:r>
    </w:p>
    <w:p>
      <w:pPr>
        <w:pStyle w:val="Heading1"/>
        <w:pBdr>
          <w:bottom w:val="single" w:color="2E5395" w:sz="6" w:space="4"/>
        </w:pBdr>
        <w:spacing w:after="120" w:before="280"/>
      </w:pPr>
      <w:r>
        <w:rPr>
          <w:rFonts w:ascii="Calibri" w:cs="Calibri" w:eastAsia="Calibri" w:hAnsi="Calibri"/>
          <w:b/>
          <w:bCs/>
          <w:color w:val="1F3864"/>
          <w:sz w:val="26"/>
          <w:szCs w:val="26"/>
        </w:rPr>
        <w:t xml:space="preserve">5. Dataset Plan — Corrected</w:t>
      </w:r>
    </w:p>
    <w:p>
      <w:pPr>
        <w:spacing w:after="120" w:before="0" w:line="276"/>
      </w:pPr>
      <w:r>
        <w:rPr>
          <w:rFonts w:ascii="Calibri" w:cs="Calibri" w:eastAsia="Calibri" w:hAnsi="Calibri"/>
          <w:color w:val="000000"/>
          <w:sz w:val="22"/>
          <w:szCs w:val="22"/>
        </w:rPr>
        <w:t xml:space="preserve">All datasets are publicly available on NCBI GEO. Islet dataset roles reflect previously verified metadata. Adipose dataset roles below have been corrected following independent verification: the originally assumed “large T2DM-vs-control cohort” framing for GSE16415 and GSE71416 did not hold — both are considerably smaller than initially estimated, and GSE27951 (not previously scoped in detail) offers the largest, best-balanced adipose cohort available and is promoted to primary discovery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2200"/>
        <w:gridCol w:w="2200"/>
        <w:gridCol w:w="2200"/>
      </w:tblGrid>
      <w:tr>
        <w:trPr>
          <w:cantSplit/>
          <w:tblHeader/>
        </w:trPr>
        <w:tc>
          <w:tcPr>
            <w:tcW w:type="dxa" w:w="12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GSE ID</w:t>
            </w:r>
          </w:p>
        </w:tc>
        <w:tc>
          <w:tcPr>
            <w:tcW w:type="dxa" w:w="15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Tissue</w:t>
            </w:r>
          </w:p>
        </w:tc>
        <w:tc>
          <w:tcPr>
            <w:tcW w:type="dxa" w:w="22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Verified Samples</w:t>
            </w:r>
          </w:p>
        </w:tc>
        <w:tc>
          <w:tcPr>
            <w:tcW w:type="dxa" w:w="22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Platform</w:t>
            </w:r>
          </w:p>
        </w:tc>
        <w:tc>
          <w:tcPr>
            <w:tcW w:type="dxa" w:w="22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Role</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GSE41762</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Islet</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57 ND / 20 T2D (n=77)</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GPL6244, HuGene-1.0ST</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Primary islet WGCNA matrix</w:t>
            </w:r>
          </w:p>
        </w:tc>
      </w:tr>
      <w:tr>
        <w:trPr>
          <w:cantSplit/>
        </w:trPr>
        <w:tc>
          <w:tcPr>
            <w:tcW w:type="dxa" w:w="12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GSE38642</w:t>
            </w:r>
          </w:p>
        </w:tc>
        <w:tc>
          <w:tcPr>
            <w:tcW w:type="dxa" w:w="1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Islet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54 ND / 9 T2D (n=63)</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GPL6244, HuGene-1.0ST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Islet validation cohort</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GSE20966</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β-cells</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10 ND / 10 T2D (n=20)</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GPL1352, U133 X3P</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Islet cross-platform check</w:t>
            </w:r>
          </w:p>
        </w:tc>
      </w:tr>
      <w:tr>
        <w:trPr>
          <w:cantSplit/>
        </w:trPr>
        <w:tc>
          <w:tcPr>
            <w:tcW w:type="dxa" w:w="12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GSE81608</w:t>
            </w:r>
          </w:p>
        </w:tc>
        <w:tc>
          <w:tcPr>
            <w:tcW w:type="dxa" w:w="1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Single-cell islet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651 ND / 949 T2D cells</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scRNA-seq, SMARTer</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β-cell specificity filter</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GSE27951</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(SAT)</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11 ND / 10 T2D (n=21)</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GPL570, HG-U133 Plus 2.0</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Primary adipose WGCNA matrix</w:t>
            </w:r>
          </w:p>
        </w:tc>
      </w:tr>
      <w:tr>
        <w:trPr>
          <w:cantSplit/>
        </w:trPr>
        <w:tc>
          <w:tcPr>
            <w:tcW w:type="dxa" w:w="12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GSE16415</w:t>
            </w:r>
          </w:p>
        </w:tc>
        <w:tc>
          <w:tcPr>
            <w:tcW w:type="dxa" w:w="1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(VAT)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 healthy / 5 diabetic (n=10)</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Applied Biosystems array</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cross-platform check</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GSE71416</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(Omental)</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Diabetic vs. non-diabetic obese</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Affymetrix array</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validation cohort</w:t>
            </w:r>
          </w:p>
        </w:tc>
      </w:tr>
    </w:tbl>
    <w:p>
      <w:pPr>
        <w:spacing w:after="0" w:before="100"/>
      </w:pPr>
      <w:r>
        <w:rPr>
          <w:rFonts w:ascii="Calibri" w:cs="Calibri" w:eastAsia="Calibri" w:hAnsi="Calibri"/>
          <w:i/>
          <w:iCs/>
          <w:color w:val="595959"/>
          <w:sz w:val="20"/>
          <w:szCs w:val="20"/>
        </w:rPr>
        <w:t xml:space="preserve">GSE27951 (n=21, roughly balanced) replaces the assumption of a large GSE16415/GSE71416 cohort as the primary adipose discovery matrix. GSE16415 (n=10) and GSE71416 are retained as smaller cross-platform and validation checks respectively, consistent with how they are used in the published literature (combined pooling across both, rather than treated as independent large cohorts).</w:t>
      </w:r>
    </w:p>
    <w:p>
      <w:pPr>
        <w:pStyle w:val="Heading1"/>
        <w:pBdr>
          <w:bottom w:val="single" w:color="2E5395" w:sz="6" w:space="4"/>
        </w:pBdr>
        <w:spacing w:after="120" w:before="280"/>
      </w:pPr>
      <w:r>
        <w:rPr>
          <w:rFonts w:ascii="Calibri" w:cs="Calibri" w:eastAsia="Calibri" w:hAnsi="Calibri"/>
          <w:b/>
          <w:bCs/>
          <w:color w:val="1F3864"/>
          <w:sz w:val="26"/>
          <w:szCs w:val="26"/>
        </w:rPr>
        <w:t xml:space="preserve">6. Comparative Phytocompound Panel</w:t>
      </w:r>
    </w:p>
    <w:p>
      <w:pPr>
        <w:spacing w:after="120" w:before="0" w:line="276"/>
      </w:pPr>
      <w:r>
        <w:rPr>
          <w:rFonts w:ascii="Calibri" w:cs="Calibri" w:eastAsia="Calibri" w:hAnsi="Calibri"/>
          <w:color w:val="000000"/>
          <w:sz w:val="22"/>
          <w:szCs w:val="22"/>
        </w:rPr>
        <w:t xml:space="preserve">Naringenin remains the primary candidate given its centrality to the lab's work, but docking is run across four compounds for comparative binding-affinity scoring: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blHeader/>
        </w:trPr>
        <w:tc>
          <w:tcPr>
            <w:tcW w:type="dxa" w:w="24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Compound</w:t>
            </w:r>
          </w:p>
        </w:tc>
        <w:tc>
          <w:tcPr>
            <w:tcW w:type="dxa" w:w="69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Basis for Inclusion</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Naringenin</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Lab's flagship compound; modulates autophagy, insulin sensitivity, and α-glucosidase activity in diabetic models</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Embelin</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Validated hub-gene modulator in the lab's 2026 Frontiers in Oncology COL6A3 study</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Lipoic Acid–Sesamol Conjugate (LSC)</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Synthesized and validated in the lab's Drosophila anti-aging studies</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Rutin</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Evaluated in the lab for hormetic efficacy and lifespan extension in Drosophila</w:t>
            </w:r>
          </w:p>
        </w:tc>
      </w:tr>
    </w:tbl>
    <w:p>
      <w:pPr>
        <w:pStyle w:val="Heading1"/>
        <w:pBdr>
          <w:bottom w:val="single" w:color="2E5395" w:sz="6" w:space="4"/>
        </w:pBdr>
        <w:spacing w:after="120" w:before="280"/>
      </w:pPr>
      <w:r>
        <w:rPr>
          <w:rFonts w:ascii="Calibri" w:cs="Calibri" w:eastAsia="Calibri" w:hAnsi="Calibri"/>
          <w:b/>
          <w:bCs/>
          <w:color w:val="1F3864"/>
          <w:sz w:val="26"/>
          <w:szCs w:val="26"/>
        </w:rPr>
        <w:t xml:space="preserve">7. Expected Outcomes</w:t>
      </w:r>
    </w:p>
    <w:p>
      <w:pPr>
        <w:pStyle w:val="ListParagraph"/>
        <w:numPr>
          <w:ilvl w:val="0"/>
          <w:numId w:val="2"/>
        </w:numPr>
        <w:spacing w:after="80" w:before="0" w:line="276"/>
      </w:pPr>
      <w:r>
        <w:rPr>
          <w:rFonts w:ascii="Calibri" w:cs="Calibri" w:eastAsia="Calibri" w:hAnsi="Calibri"/>
          <w:color w:val="000000"/>
          <w:sz w:val="22"/>
          <w:szCs w:val="22"/>
        </w:rPr>
        <w:t xml:space="preserve">A definitive answer to whether T2DM-associated senescence has a shared or tissue-specific molecular signature across islet and adipose tissue.</w:t>
      </w:r>
    </w:p>
    <w:p>
      <w:pPr>
        <w:pStyle w:val="ListParagraph"/>
        <w:numPr>
          <w:ilvl w:val="0"/>
          <w:numId w:val="2"/>
        </w:numPr>
        <w:spacing w:after="80" w:before="0" w:line="276"/>
      </w:pPr>
      <w:r>
        <w:rPr>
          <w:rFonts w:ascii="Calibri" w:cs="Calibri" w:eastAsia="Calibri" w:hAnsi="Calibri"/>
          <w:color w:val="000000"/>
          <w:sz w:val="22"/>
          <w:szCs w:val="22"/>
        </w:rPr>
        <w:t xml:space="preserve">Two independently cross-validated hub-gene panels, each with diagnostic value regardless of the shared/specific outcome.</w:t>
      </w:r>
    </w:p>
    <w:p>
      <w:pPr>
        <w:pStyle w:val="ListParagraph"/>
        <w:numPr>
          <w:ilvl w:val="0"/>
          <w:numId w:val="2"/>
        </w:numPr>
        <w:spacing w:after="80" w:before="0" w:line="276"/>
      </w:pPr>
      <w:r>
        <w:rPr>
          <w:rFonts w:ascii="Calibri" w:cs="Calibri" w:eastAsia="Calibri" w:hAnsi="Calibri"/>
          <w:color w:val="000000"/>
          <w:sz w:val="22"/>
          <w:szCs w:val="22"/>
        </w:rPr>
        <w:t xml:space="preserve">A structurally grounded, testable senotherapeutic hypothesis extendable to the lab's existing INS-1/NES2Y β-cell lines, adipocyte cell lines, and Drosophila models.</w:t>
      </w:r>
    </w:p>
    <w:p>
      <w:pPr>
        <w:pStyle w:val="Heading1"/>
        <w:pBdr>
          <w:bottom w:val="single" w:color="2E5395" w:sz="6" w:space="4"/>
        </w:pBdr>
        <w:spacing w:after="120" w:before="280"/>
      </w:pPr>
      <w:r>
        <w:rPr>
          <w:rFonts w:ascii="Calibri" w:cs="Calibri" w:eastAsia="Calibri" w:hAnsi="Calibri"/>
          <w:b/>
          <w:bCs/>
          <w:color w:val="1F3864"/>
          <w:sz w:val="26"/>
          <w:szCs w:val="26"/>
        </w:rPr>
        <w:t xml:space="preserve">8. Future Direction: Cross-Species Extension</w:t>
      </w:r>
    </w:p>
    <w:p>
      <w:pPr>
        <w:spacing w:after="120" w:before="0" w:line="276"/>
      </w:pPr>
      <w:r>
        <w:rPr>
          <w:rFonts w:ascii="Calibri" w:cs="Calibri" w:eastAsia="Calibri" w:hAnsi="Calibri"/>
          <w:color w:val="000000"/>
          <w:sz w:val="22"/>
          <w:szCs w:val="22"/>
        </w:rPr>
        <w:t xml:space="preserve">As a natural next phase beyond this study's scope, the confirmed human hub-gene signature(s) could be tested for conservation in Drosophila melanogaster longevity models — directly engaging the lab's third research pillar. Public fly aging transcriptome resources (e.g., GSE67547; WGCNA-derived coexpression modules via the CoFly database) would allow a parallel senescence-filtered ML pipeline in flies, with human ortholog mapping (FlyBase/DIOPT) connecting back to the hub genes identified here. This would let the lab's Drosophila infrastructure directly validate a human-derived computational finding — a natural continuation this proposal does not attempt, to keep the current scope achievable within the timeline below.</w:t>
      </w:r>
    </w:p>
    <w:p>
      <w:pPr>
        <w:pStyle w:val="Heading1"/>
        <w:pBdr>
          <w:bottom w:val="single" w:color="2E5395" w:sz="6" w:space="4"/>
        </w:pBdr>
        <w:spacing w:after="120" w:before="280"/>
      </w:pPr>
      <w:r>
        <w:rPr>
          <w:rFonts w:ascii="Calibri" w:cs="Calibri" w:eastAsia="Calibri" w:hAnsi="Calibri"/>
          <w:b/>
          <w:bCs/>
          <w:color w:val="1F3864"/>
          <w:sz w:val="26"/>
          <w:szCs w:val="26"/>
        </w:rPr>
        <w:t xml:space="preserve">9. Fit with the Lab's Current Direction</w:t>
      </w:r>
    </w:p>
    <w:p>
      <w:pPr>
        <w:pStyle w:val="ListParagraph"/>
        <w:numPr>
          <w:ilvl w:val="0"/>
          <w:numId w:val="2"/>
        </w:numPr>
        <w:spacing w:after="80" w:before="0" w:line="276"/>
      </w:pPr>
      <w:r>
        <w:rPr>
          <w:rFonts w:ascii="Calibri" w:cs="Calibri" w:eastAsia="Calibri" w:hAnsi="Calibri"/>
          <w:color w:val="000000"/>
          <w:sz w:val="22"/>
          <w:szCs w:val="22"/>
        </w:rPr>
        <w:t xml:space="preserve">Bridges two of the lab's three stated pillars (senescence signaling and adipogenesis) in a single study, with the third (Drosophila) named as a follow-on direction.</w:t>
      </w:r>
    </w:p>
    <w:p>
      <w:pPr>
        <w:pStyle w:val="ListParagraph"/>
        <w:numPr>
          <w:ilvl w:val="0"/>
          <w:numId w:val="2"/>
        </w:numPr>
        <w:spacing w:after="80" w:before="0" w:line="276"/>
      </w:pPr>
      <w:r>
        <w:rPr>
          <w:rFonts w:ascii="Calibri" w:cs="Calibri" w:eastAsia="Calibri" w:hAnsi="Calibri"/>
          <w:color w:val="000000"/>
          <w:sz w:val="22"/>
          <w:szCs w:val="22"/>
        </w:rPr>
        <w:t xml:space="preserve">Reuses the exact WGCNA + LASSO/SVM-RFE/Random Forest + docking pipeline validated in the lab's 2026 COL6A3 paper, run in parallel across two tissue systems.</w:t>
      </w:r>
    </w:p>
    <w:p>
      <w:pPr>
        <w:pStyle w:val="ListParagraph"/>
        <w:numPr>
          <w:ilvl w:val="0"/>
          <w:numId w:val="2"/>
        </w:numPr>
        <w:spacing w:after="80" w:before="0" w:line="276"/>
      </w:pPr>
      <w:r>
        <w:rPr>
          <w:rFonts w:ascii="Calibri" w:cs="Calibri" w:eastAsia="Calibri" w:hAnsi="Calibri"/>
          <w:color w:val="000000"/>
          <w:sz w:val="22"/>
          <w:szCs w:val="22"/>
        </w:rPr>
        <w:t xml:space="preserve">The structural docking layer complements the PI's own post-doctoral structural biology background (single-particle EM, molecular motor conformational dynamics).</w:t>
      </w:r>
    </w:p>
    <w:p>
      <w:pPr>
        <w:pStyle w:val="Heading1"/>
        <w:pBdr>
          <w:bottom w:val="single" w:color="2E5395" w:sz="6" w:space="4"/>
        </w:pBdr>
        <w:spacing w:after="120" w:before="280"/>
      </w:pPr>
      <w:r>
        <w:rPr>
          <w:rFonts w:ascii="Calibri" w:cs="Calibri" w:eastAsia="Calibri" w:hAnsi="Calibri"/>
          <w:b/>
          <w:bCs/>
          <w:color w:val="1F3864"/>
          <w:sz w:val="26"/>
          <w:szCs w:val="26"/>
        </w:rPr>
        <w:t xml:space="preserve">10. Indicative Timeline</w:t>
      </w:r>
    </w:p>
    <w:p>
      <w:pPr>
        <w:spacing w:after="120" w:before="0" w:line="276"/>
      </w:pPr>
      <w:r>
        <w:rPr>
          <w:rFonts w:ascii="Calibri" w:cs="Calibri" w:eastAsia="Calibri" w:hAnsi="Calibri"/>
          <w:i/>
          <w:iCs/>
          <w:color w:val="595959"/>
          <w:sz w:val="20"/>
          <w:szCs w:val="20"/>
        </w:rPr>
        <w:t xml:space="preserve">Running two parallel discovery arms extends the single-tissue timeline from 14 to 16 weeks. With smaller adipose cohort sizes now confirmed, extra care in Phase 2 (batch correction, cross-cohort harmonization) is budgeted into the adipose arm's allotted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5500"/>
      </w:tblGrid>
      <w:tr>
        <w:trPr>
          <w:cantSplit/>
          <w:tblHeader/>
        </w:trPr>
        <w:tc>
          <w:tcPr>
            <w:tcW w:type="dxa" w:w="25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Phase</w:t>
            </w:r>
          </w:p>
        </w:tc>
        <w:tc>
          <w:tcPr>
            <w:tcW w:type="dxa" w:w="13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Weeks</w:t>
            </w:r>
          </w:p>
        </w:tc>
        <w:tc>
          <w:tcPr>
            <w:tcW w:type="dxa" w:w="55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Deliverable</w:t>
            </w:r>
          </w:p>
        </w:tc>
      </w:tr>
      <w:tr>
        <w:trPr>
          <w:cantSplit/>
        </w:trPr>
        <w:tc>
          <w:tcPr>
            <w:tcW w:type="dxa" w:w="2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 Data scoping &amp; preprocessing (both arms)</w:t>
            </w:r>
          </w:p>
        </w:tc>
        <w:tc>
          <w:tcPr>
            <w:tcW w:type="dxa" w:w="13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1–3</w:t>
            </w:r>
          </w:p>
        </w:tc>
        <w:tc>
          <w:tcPr>
            <w:tcW w:type="dxa" w:w="5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Normalized, senescence-filtered matrices for islet and adipose cohorts</w:t>
            </w:r>
          </w:p>
        </w:tc>
      </w:tr>
      <w:tr>
        <w:trPr>
          <w:cantSplit/>
        </w:trPr>
        <w:tc>
          <w:tcPr>
            <w:tcW w:type="dxa" w:w="2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2. Parallel WGCNA + ML convergence</w:t>
            </w:r>
          </w:p>
        </w:tc>
        <w:tc>
          <w:tcPr>
            <w:tcW w:type="dxa" w:w="13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4–8</w:t>
            </w:r>
          </w:p>
        </w:tc>
        <w:tc>
          <w:tcPr>
            <w:tcW w:type="dxa" w:w="5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Two independent hub-gene panels, each cross-validated</w:t>
            </w:r>
          </w:p>
        </w:tc>
      </w:tr>
      <w:tr>
        <w:trPr>
          <w:cantSplit/>
        </w:trPr>
        <w:tc>
          <w:tcPr>
            <w:tcW w:type="dxa" w:w="2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3. Cross-tissue comparison &amp; single-cell check</w:t>
            </w:r>
          </w:p>
        </w:tc>
        <w:tc>
          <w:tcPr>
            <w:tcW w:type="dxa" w:w="13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9–11</w:t>
            </w:r>
          </w:p>
        </w:tc>
        <w:tc>
          <w:tcPr>
            <w:tcW w:type="dxa" w:w="5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Shared vs. tissue-specific hub gene classification; β-cell specificity confirmed</w:t>
            </w:r>
          </w:p>
        </w:tc>
      </w:tr>
      <w:tr>
        <w:trPr>
          <w:cantSplit/>
        </w:trPr>
        <w:tc>
          <w:tcPr>
            <w:tcW w:type="dxa" w:w="2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4. Structural docking</w:t>
            </w:r>
          </w:p>
        </w:tc>
        <w:tc>
          <w:tcPr>
            <w:tcW w:type="dxa" w:w="13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12–14</w:t>
            </w:r>
          </w:p>
        </w:tc>
        <w:tc>
          <w:tcPr>
            <w:tcW w:type="dxa" w:w="5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Binding-energy profiles for 4 phytocompounds against prioritized target(s)</w:t>
            </w:r>
          </w:p>
        </w:tc>
      </w:tr>
      <w:tr>
        <w:trPr>
          <w:cantSplit/>
        </w:trPr>
        <w:tc>
          <w:tcPr>
            <w:tcW w:type="dxa" w:w="2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 Synthesis &amp; writing</w:t>
            </w:r>
          </w:p>
        </w:tc>
        <w:tc>
          <w:tcPr>
            <w:tcW w:type="dxa" w:w="13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15–16</w:t>
            </w:r>
          </w:p>
        </w:tc>
        <w:tc>
          <w:tcPr>
            <w:tcW w:type="dxa" w:w="5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Manuscript draft, including future-direction note on Drosophila extension</w:t>
            </w:r>
          </w:p>
        </w:tc>
      </w:tr>
    </w:tbl>
    <w:p>
      <w:pPr>
        <w:pStyle w:val="Heading1"/>
        <w:pBdr>
          <w:bottom w:val="single" w:color="2E5395" w:sz="6" w:space="4"/>
        </w:pBdr>
        <w:spacing w:after="120" w:before="280"/>
      </w:pPr>
      <w:r>
        <w:rPr>
          <w:rFonts w:ascii="Calibri" w:cs="Calibri" w:eastAsia="Calibri" w:hAnsi="Calibri"/>
          <w:b/>
          <w:bCs/>
          <w:color w:val="1F3864"/>
          <w:sz w:val="26"/>
          <w:szCs w:val="26"/>
        </w:rPr>
        <w:t xml:space="preserve">11. Key References</w:t>
      </w:r>
    </w:p>
    <w:p>
      <w:pPr>
        <w:pStyle w:val="ListParagraph"/>
        <w:numPr>
          <w:ilvl w:val="0"/>
          <w:numId w:val="2"/>
        </w:numPr>
        <w:spacing w:after="80" w:before="0" w:line="276"/>
      </w:pPr>
      <w:r>
        <w:rPr>
          <w:rFonts w:ascii="Calibri" w:cs="Calibri" w:eastAsia="Calibri" w:hAnsi="Calibri"/>
          <w:color w:val="000000"/>
          <w:sz w:val="22"/>
          <w:szCs w:val="22"/>
        </w:rPr>
        <w:t xml:space="preserve">Kumar, A., Thirumurugan, K. Understanding cellular senescence: pathways involved, therapeutics and longevity aiding. Cell Cycle (2023).</w:t>
      </w:r>
    </w:p>
    <w:p>
      <w:pPr>
        <w:pStyle w:val="ListParagraph"/>
        <w:numPr>
          <w:ilvl w:val="0"/>
          <w:numId w:val="2"/>
        </w:numPr>
        <w:spacing w:after="80" w:before="0" w:line="276"/>
      </w:pPr>
      <w:r>
        <w:rPr>
          <w:rFonts w:ascii="Calibri" w:cs="Calibri" w:eastAsia="Calibri" w:hAnsi="Calibri"/>
          <w:color w:val="000000"/>
          <w:sz w:val="22"/>
          <w:szCs w:val="22"/>
        </w:rPr>
        <w:t xml:space="preserve">Javali, P.S., Thirumurugan, K. Artificial intelligence driven multi-omics framework identifies COL6A3 as a diagnostic biomarker and a putative gene target modulated by Embelin in Colorectal cancer. Front. Oncol. (2026).</w:t>
      </w:r>
    </w:p>
    <w:p>
      <w:pPr>
        <w:pStyle w:val="ListParagraph"/>
        <w:numPr>
          <w:ilvl w:val="0"/>
          <w:numId w:val="2"/>
        </w:numPr>
        <w:spacing w:after="80" w:before="0" w:line="276"/>
      </w:pPr>
      <w:r>
        <w:rPr>
          <w:rFonts w:ascii="Calibri" w:cs="Calibri" w:eastAsia="Calibri" w:hAnsi="Calibri"/>
          <w:color w:val="000000"/>
          <w:sz w:val="22"/>
          <w:szCs w:val="22"/>
        </w:rPr>
        <w:t xml:space="preserve">Saul, D. et al. A new gene set identifies senescent cells and predicts senescence-associated pathways across tissues (SenMayo). Nat. Commun. (2022).</w:t>
      </w:r>
    </w:p>
    <w:p>
      <w:pPr>
        <w:pStyle w:val="ListParagraph"/>
        <w:numPr>
          <w:ilvl w:val="0"/>
          <w:numId w:val="2"/>
        </w:numPr>
        <w:spacing w:after="80" w:before="0" w:line="276"/>
      </w:pPr>
      <w:r>
        <w:rPr>
          <w:rFonts w:ascii="Calibri" w:cs="Calibri" w:eastAsia="Calibri" w:hAnsi="Calibri"/>
          <w:color w:val="000000"/>
          <w:sz w:val="22"/>
          <w:szCs w:val="22"/>
        </w:rPr>
        <w:t xml:space="preserve">p21-senescent cells drive pancreatic islet dysfunction through targetable paracrine signaling in type 2 diabetes. JCI Insight (2025).</w:t>
      </w:r>
    </w:p>
    <w:p>
      <w:pPr>
        <w:pStyle w:val="ListParagraph"/>
        <w:numPr>
          <w:ilvl w:val="0"/>
          <w:numId w:val="2"/>
        </w:numPr>
        <w:spacing w:after="80" w:before="0" w:line="276"/>
      </w:pPr>
      <w:r>
        <w:rPr>
          <w:rFonts w:ascii="Calibri" w:cs="Calibri" w:eastAsia="Calibri" w:hAnsi="Calibri"/>
          <w:color w:val="000000"/>
          <w:sz w:val="22"/>
          <w:szCs w:val="22"/>
        </w:rPr>
        <w:t xml:space="preserve">Mahdi, T. et al. Secreted frizzled-related protein 4 reduces insulin secretion and is overexpressed in type 2 diabetes. (GSE41762 source study), Cell Metab. (2012).</w:t>
      </w:r>
    </w:p>
    <w:p>
      <w:pPr>
        <w:pStyle w:val="ListParagraph"/>
        <w:numPr>
          <w:ilvl w:val="0"/>
          <w:numId w:val="2"/>
        </w:numPr>
        <w:spacing w:after="80" w:before="0" w:line="276"/>
      </w:pPr>
      <w:r>
        <w:rPr>
          <w:rFonts w:ascii="Calibri" w:cs="Calibri" w:eastAsia="Calibri" w:hAnsi="Calibri"/>
          <w:color w:val="000000"/>
          <w:sz w:val="22"/>
          <w:szCs w:val="22"/>
        </w:rPr>
        <w:t xml:space="preserve">Identification of core gene in obese type 2 diabetes patients using bioinformatics analysis. (GSE27951 usage precedent).</w:t>
      </w:r>
    </w:p>
    <w:p>
      <w:pPr>
        <w:pStyle w:val="ListParagraph"/>
        <w:numPr>
          <w:ilvl w:val="0"/>
          <w:numId w:val="2"/>
        </w:numPr>
        <w:spacing w:after="80" w:before="0" w:line="276"/>
      </w:pPr>
      <w:r>
        <w:rPr>
          <w:rFonts w:ascii="Calibri" w:cs="Calibri" w:eastAsia="Calibri" w:hAnsi="Calibri"/>
          <w:color w:val="000000"/>
          <w:sz w:val="22"/>
          <w:szCs w:val="22"/>
        </w:rPr>
        <w:t xml:space="preserve">Global Gene Expression Profiling in Omental Adipose Tissue of Morbidly Obese Diabetic African Americans. (GSE71416 source study).</w:t>
      </w:r>
    </w:p>
    <w:sectPr>
      <w:pgSz w:w="11906" w:h="16838" w:orient="portrait"/>
      <w:pgMar w:top="1080" w:right="1130" w:bottom="108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2026-08-17T18:05:53.872Z</dcterms:created>
  <dcterms:modified xsi:type="dcterms:W3CDTF">2026-08-17T18:05:53.872Z</dcterms:modified>
</cp:coreProperties>
</file>

<file path=docProps/custom.xml><?xml version="1.0" encoding="utf-8"?>
<Properties xmlns="http://schemas.openxmlformats.org/officeDocument/2006/custom-properties" xmlns:vt="http://schemas.openxmlformats.org/officeDocument/2006/docPropsVTypes"/>
</file>