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思考题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变量分布特征可以从集中趋势（平均指标）、离中趋势（变异指标）和分布形状（形状指标）三个方面加以描述，其中平均指标主要包括算术平均数、调和平均数、几何平均数、中位数、分位数和众数；变异指标主要包括极差、四分位差、平均差、方差和标准差、变异系数；形状指标主要包括偏度系数和度系数。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算术平均数是各变量值总和除以变量值个数的结果；把变量数列中的各变量值按大小顺序排列起来，处于中间位置的变量值为中位数；众数则是指变量数列中出现频数最多的变量值。平均数的大小与一组数据里的每个数据均有关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其中任何数据的变动都会相应引起平均数的变动；众数则着眼于对各数据出现的次数的考察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其大小只与这组数据中的部分数据有关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当一组数据中有不少数据多次重复出现时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其众数往往是我们关心的一种统计量；中位数则仅与数据排列位置有关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当一组数据从小到大排列后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最中间的数据为中位数。因此某些数据的变动对它的中位数影响不大。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加权算术平均数的大小受两个因素的影响，一是受各组变量值大小的影响，二是受各组频数大小的影响，因此权数在计算算术平均数的过程中，有着权衡轻重的作用。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假定各组的组中值等于组平均数。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方差是变量分布中各变量值与其算术平均数离差平方的算术平均数；标准差是方差的平方根。标准差的计量单位与变量相同，更具实际意义。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当原始数据编织成组距数列后，总方差分解成两部分，即组间方差和组内方差的平均数，可以证明总方差等于组间方差和组内方差的平均数之和。假定组内方差为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变异系数是以相对数形式表示的变异指标。它是通过变异指标中的全距、平均差或标准差与平均数对比得到的。常用的是标准差系数。变异系数的作用是：当所对比的两个数列的水平高低不同时，就不能采用全距、平均差或标准差进行对比分析。因为它们都是绝对指标，其数值的大小不仅受各单位标志值差异程度的影响，而且受到总体单位标志值本身水平高低的影响；为了对比分析不同水平的变量数列之间标志值的变异程度，就必须消除数列水平高低的影响，这时就要计算变异系数。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各变量值的差异程度越大，则变量值平均指标的代表性越低，变量值的变异程度越小，则变量值平均指标的代表性越高。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题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2-1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3-11     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某企业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2013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月份职工工资分组资料</w:t>
      </w:r>
    </w:p>
    <w:tbl>
      <w:tblPr>
        <w:tblInd w:w="648" w:type="dxa"/>
      </w:tblPr>
      <w:tblGrid>
        <w:gridCol w:w="3855"/>
        <w:gridCol w:w="3402"/>
      </w:tblGrid>
      <w:tr>
        <w:trPr>
          <w:trHeight w:val="397" w:hRule="auto"/>
          <w:jc w:val="left"/>
        </w:trPr>
        <w:tc>
          <w:tcPr>
            <w:tcW w:w="3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月工资水平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元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职工人数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人</w:t>
            </w:r>
          </w:p>
        </w:tc>
      </w:tr>
      <w:tr>
        <w:trPr>
          <w:trHeight w:val="397" w:hRule="auto"/>
          <w:jc w:val="left"/>
        </w:trPr>
        <w:tc>
          <w:tcPr>
            <w:tcW w:w="3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2000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以下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2000-2500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2500-3000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3000-3500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3500-4000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4000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以上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130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190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30</w:t>
            </w:r>
          </w:p>
        </w:tc>
      </w:tr>
      <w:tr>
        <w:trPr>
          <w:trHeight w:val="397" w:hRule="auto"/>
          <w:jc w:val="left"/>
        </w:trPr>
        <w:tc>
          <w:tcPr>
            <w:tcW w:w="3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合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计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560</w:t>
            </w:r>
          </w:p>
        </w:tc>
      </w:tr>
    </w:tbl>
    <w:p>
      <w:p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要求：根据上述资料计算算术平均数、中位数和众数。</w:t>
      </w:r>
    </w:p>
    <w:p>
      <w:pPr>
        <w:spacing w:before="0" w:after="0" w:line="360"/>
        <w:ind w:right="0" w:left="0" w:firstLine="4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解：根据上表我们先求组中值可得</w:t>
      </w:r>
    </w:p>
    <w:tbl>
      <w:tblPr>
        <w:tblInd w:w="648" w:type="dxa"/>
      </w:tblPr>
      <w:tblGrid>
        <w:gridCol w:w="2437"/>
        <w:gridCol w:w="1701"/>
        <w:gridCol w:w="1701"/>
        <w:gridCol w:w="1418"/>
      </w:tblGrid>
      <w:tr>
        <w:trPr>
          <w:trHeight w:val="438" w:hRule="auto"/>
          <w:jc w:val="left"/>
        </w:trPr>
        <w:tc>
          <w:tcPr>
            <w:tcW w:w="24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月工资水平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元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职工人数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人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组中值（</w:t>
            </w:r>
            <w:r>
              <w:object w:dxaOrig="202" w:dyaOrig="222">
                <v:rect xmlns:o="urn:schemas-microsoft-com:office:office" xmlns:v="urn:schemas-microsoft-com:vml" id="rectole0000000000" style="width:10.100000pt;height:11.1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DrawAspect="Content" ObjectID="0000000000" ShapeID="rectole0000000000" r:id="docRId0"/>
              </w:objec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）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23" w:dyaOrig="323">
                <v:rect xmlns:o="urn:schemas-microsoft-com:office:office" xmlns:v="urn:schemas-microsoft-com:vml" id="rectole0000000001" style="width:16.150000pt;height:16.1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DrawAspect="Content" ObjectID="0000000001" ShapeID="rectole0000000001" r:id="docRId2"/>
              </w:object>
            </w:r>
          </w:p>
        </w:tc>
      </w:tr>
      <w:tr>
        <w:trPr>
          <w:trHeight w:val="397" w:hRule="auto"/>
          <w:jc w:val="left"/>
        </w:trPr>
        <w:tc>
          <w:tcPr>
            <w:tcW w:w="24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2000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以下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2000-2500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2500-3000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3000-3500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3500-4000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4000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以上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130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190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1750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2250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2750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3250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3750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4250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52500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225000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357500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617500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300000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127500</w:t>
            </w:r>
          </w:p>
        </w:tc>
      </w:tr>
      <w:tr>
        <w:trPr>
          <w:trHeight w:val="397" w:hRule="auto"/>
          <w:jc w:val="left"/>
        </w:trPr>
        <w:tc>
          <w:tcPr>
            <w:tcW w:w="24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合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计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560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1680000</w:t>
            </w:r>
          </w:p>
        </w:tc>
      </w:tr>
    </w:tbl>
    <w:p>
      <w:pPr>
        <w:spacing w:before="0" w:after="0" w:line="240"/>
        <w:ind w:right="0" w:left="0" w:firstLine="4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则算术平均数：</w:t>
      </w:r>
      <w:r>
        <w:object w:dxaOrig="4089" w:dyaOrig="688">
          <v:rect xmlns:o="urn:schemas-microsoft-com:office:office" xmlns:v="urn:schemas-microsoft-com:vml" id="rectole0000000002" style="width:204.450000pt;height:3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DrawAspect="Content" ObjectID="0000000002" ShapeID="rectole0000000002" r:id="docRId4"/>
        </w:object>
      </w:r>
    </w:p>
    <w:p>
      <w:pPr>
        <w:spacing w:before="0" w:after="0" w:line="240"/>
        <w:ind w:right="0" w:left="0" w:firstLine="4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中位数：中位数位置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=280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，结合累计频数可知，中位数在第四组内，且</w:t>
      </w:r>
      <w:r>
        <w:object w:dxaOrig="5871" w:dyaOrig="364">
          <v:rect xmlns:o="urn:schemas-microsoft-com:office:office" xmlns:v="urn:schemas-microsoft-com:vml" id="rectole0000000003" style="width:293.550000pt;height:1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按下限公式计算：</w:t>
      </w:r>
      <w:r>
        <w:object w:dxaOrig="5952" w:dyaOrig="1032">
          <v:rect xmlns:o="urn:schemas-microsoft-com:office:office" xmlns:v="urn:schemas-microsoft-com:vml" id="rectole0000000004" style="width:297.600000pt;height:51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按上限公式计算：</w:t>
      </w:r>
      <w:r>
        <w:object w:dxaOrig="5932" w:dyaOrig="1032">
          <v:rect xmlns:o="urn:schemas-microsoft-com:office:office" xmlns:v="urn:schemas-microsoft-com:vml" id="rectole0000000005" style="width:296.600000pt;height:51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众数：根据资料可以确定众数在第四组，且</w:t>
      </w:r>
      <w:r>
        <w:object w:dxaOrig="4495" w:dyaOrig="364">
          <v:rect xmlns:o="urn:schemas-microsoft-com:office:office" xmlns:v="urn:schemas-microsoft-com:vml" id="rectole0000000006" style="width:224.750000pt;height:18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按下限计算：</w:t>
      </w:r>
      <w:r>
        <w:object w:dxaOrig="4899" w:dyaOrig="688">
          <v:rect xmlns:o="urn:schemas-microsoft-com:office:office" xmlns:v="urn:schemas-microsoft-com:vml" id="rectole0000000007" style="width:244.950000pt;height:34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按上限计算：</w:t>
      </w:r>
      <w:r>
        <w:object w:dxaOrig="4981" w:dyaOrig="688">
          <v:rect xmlns:o="urn:schemas-microsoft-com:office:office" xmlns:v="urn:schemas-microsoft-com:vml" id="rectole0000000008" style="width:249.050000pt;height:34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题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2-2</w:t>
      </w:r>
    </w:p>
    <w:p>
      <w:pPr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3-12         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两种不同水稻品种试种的产量资料</w:t>
      </w:r>
    </w:p>
    <w:tbl>
      <w:tblPr>
        <w:tblInd w:w="468" w:type="dxa"/>
      </w:tblPr>
      <w:tblGrid>
        <w:gridCol w:w="1845"/>
        <w:gridCol w:w="1845"/>
        <w:gridCol w:w="1845"/>
        <w:gridCol w:w="1845"/>
      </w:tblGrid>
      <w:tr>
        <w:trPr>
          <w:trHeight w:val="340" w:hRule="auto"/>
          <w:jc w:val="left"/>
        </w:trPr>
        <w:tc>
          <w:tcPr>
            <w:tcW w:w="369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甲品种</w:t>
            </w:r>
          </w:p>
        </w:tc>
        <w:tc>
          <w:tcPr>
            <w:tcW w:w="369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乙品种</w:t>
            </w:r>
          </w:p>
        </w:tc>
      </w:tr>
      <w:tr>
        <w:trPr>
          <w:trHeight w:val="340" w:hRule="auto"/>
          <w:jc w:val="left"/>
        </w:trPr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田块面积（亩）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亩产量（斤）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田块面积（亩）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亩产量（斤）</w:t>
            </w:r>
          </w:p>
        </w:tc>
      </w:tr>
      <w:tr>
        <w:trPr>
          <w:trHeight w:val="340" w:hRule="auto"/>
          <w:jc w:val="left"/>
        </w:trPr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1.2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1.1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0.9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0.8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950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1050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1.2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1.1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0.9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0.8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1360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1250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750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600</w:t>
            </w:r>
          </w:p>
        </w:tc>
      </w:tr>
      <w:tr>
        <w:trPr>
          <w:trHeight w:val="340" w:hRule="auto"/>
          <w:jc w:val="left"/>
        </w:trPr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合计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合计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求亩产水平并确定哪个品种具有更大的推广价值</w:t>
      </w:r>
    </w:p>
    <w:p>
      <w:p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解：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-28"/>
          <w:sz w:val="24"/>
          <w:shd w:fill="auto" w:val="clear"/>
        </w:rPr>
      </w:pPr>
      <w:r>
        <w:object w:dxaOrig="2976" w:dyaOrig="688">
          <v:rect xmlns:o="urn:schemas-microsoft-com:office:office" xmlns:v="urn:schemas-microsoft-com:vml" id="rectole0000000009" style="width:148.800000pt;height:34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DrawAspect="Content" ObjectID="0000000009" ShapeID="rectole0000000009" r:id="docRId1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-28"/>
          <w:sz w:val="24"/>
          <w:shd w:fill="auto" w:val="clear"/>
        </w:rPr>
        <w:t xml:space="preserve">             </w:t>
      </w:r>
      <w:r>
        <w:object w:dxaOrig="3280" w:dyaOrig="688">
          <v:rect xmlns:o="urn:schemas-microsoft-com:office:office" xmlns:v="urn:schemas-microsoft-com:vml" id="rectole0000000010" style="width:164.000000pt;height:34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089" w:dyaOrig="769">
          <v:rect xmlns:o="urn:schemas-microsoft-com:office:office" xmlns:v="urn:schemas-microsoft-com:vml" id="rectole0000000011" style="width:204.450000pt;height:38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DrawAspect="Content" ObjectID="0000000011" ShapeID="rectole0000000011" r:id="docRId2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4292" w:dyaOrig="769">
          <v:rect xmlns:o="urn:schemas-microsoft-com:office:office" xmlns:v="urn:schemas-microsoft-com:vml" id="rectole0000000012" style="width:214.600000pt;height:38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862" w:dyaOrig="729">
          <v:rect xmlns:o="urn:schemas-microsoft-com:office:office" xmlns:v="urn:schemas-microsoft-com:vml" id="rectole0000000013" style="width:93.100000pt;height:36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DrawAspect="Content" ObjectID="0000000013" ShapeID="rectole0000000013" r:id="docRId2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</w:t>
      </w:r>
      <w:r>
        <w:object w:dxaOrig="2004" w:dyaOrig="688">
          <v:rect xmlns:o="urn:schemas-microsoft-com:office:office" xmlns:v="urn:schemas-microsoft-com:vml" id="rectole0000000014" style="width:100.200000pt;height:34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DrawAspect="Content" ObjectID="0000000014" ShapeID="rectole0000000014" r:id="docRId28"/>
        </w:object>
      </w:r>
    </w:p>
    <w:p>
      <w:p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从标准差系数上看，甲品种小于乙品种，说明甲品种的产量离散程度小，稳定性高，具有更大的推广价值。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题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2-3</w:t>
      </w:r>
    </w:p>
    <w:p>
      <w:pPr>
        <w:spacing w:before="0" w:after="0" w:line="240"/>
        <w:ind w:right="0" w:left="0" w:firstLine="6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3-13        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某高校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名大学生生活开支资料</w:t>
      </w:r>
    </w:p>
    <w:tbl>
      <w:tblPr>
        <w:tblInd w:w="648" w:type="dxa"/>
      </w:tblPr>
      <w:tblGrid>
        <w:gridCol w:w="3855"/>
        <w:gridCol w:w="3402"/>
      </w:tblGrid>
      <w:tr>
        <w:trPr>
          <w:trHeight w:val="397" w:hRule="auto"/>
          <w:jc w:val="left"/>
        </w:trPr>
        <w:tc>
          <w:tcPr>
            <w:tcW w:w="3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按月生活开支额分配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元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学生数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人</w:t>
            </w:r>
          </w:p>
        </w:tc>
      </w:tr>
      <w:tr>
        <w:trPr>
          <w:trHeight w:val="397" w:hRule="auto"/>
          <w:jc w:val="left"/>
        </w:trPr>
        <w:tc>
          <w:tcPr>
            <w:tcW w:w="3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300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以下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300-500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500-700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700-900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900-1100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1100-1300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1300-1500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1500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以上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120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</w:tr>
      <w:tr>
        <w:trPr>
          <w:trHeight w:val="397" w:hRule="auto"/>
          <w:jc w:val="left"/>
        </w:trPr>
        <w:tc>
          <w:tcPr>
            <w:tcW w:w="3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合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计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300</w:t>
            </w:r>
          </w:p>
        </w:tc>
      </w:tr>
    </w:tbl>
    <w:p>
      <w:p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1"/>
        </w:numPr>
        <w:spacing w:before="0" w:after="0" w:line="360"/>
        <w:ind w:right="0" w:left="675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计算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名大学生生活开支额的均值和标准差。</w:t>
      </w:r>
    </w:p>
    <w:p>
      <w:pPr>
        <w:numPr>
          <w:ilvl w:val="0"/>
          <w:numId w:val="51"/>
        </w:numPr>
        <w:spacing w:before="0" w:after="0" w:line="360"/>
        <w:ind w:right="0" w:left="675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计算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名大学生生活开支额分布的偏度系数和峰度系数。</w:t>
      </w:r>
    </w:p>
    <w:p>
      <w:p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名大学生生活开支额的均值和标准差为：</w:t>
      </w:r>
    </w:p>
    <w:p>
      <w:pPr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03" w:dyaOrig="648">
          <v:rect xmlns:o="urn:schemas-microsoft-com:office:office" xmlns:v="urn:schemas-microsoft-com:vml" id="rectole0000000015" style="width:425.150000pt;height:32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DrawAspect="Content" ObjectID="0000000015" ShapeID="rectole0000000015" r:id="docRId3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</w:t>
      </w:r>
      <w:r>
        <w:object w:dxaOrig="3988" w:dyaOrig="769">
          <v:rect xmlns:o="urn:schemas-microsoft-com:office:office" xmlns:v="urn:schemas-microsoft-com:vml" id="rectole0000000016" style="width:199.400000pt;height:38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DrawAspect="Content" ObjectID="0000000016" ShapeID="rectole0000000016" r:id="docRId32"/>
        </w:object>
      </w:r>
    </w:p>
    <w:p>
      <w:pPr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根据中心动差的一般形式：</w:t>
      </w:r>
      <w:r>
        <w:object w:dxaOrig="2470" w:dyaOrig="688">
          <v:rect xmlns:o="urn:schemas-microsoft-com:office:office" xmlns:v="urn:schemas-microsoft-com:vml" id="rectole0000000017" style="width:123.500000pt;height:34.4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DrawAspect="Content" ObjectID="0000000017" ShapeID="rectole0000000017" r:id="docRId34"/>
        </w:object>
      </w:r>
    </w:p>
    <w:p>
      <w:pPr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我们可以求得：</w:t>
      </w:r>
      <w:r>
        <w:object w:dxaOrig="3847" w:dyaOrig="688">
          <v:rect xmlns:o="urn:schemas-microsoft-com:office:office" xmlns:v="urn:schemas-microsoft-com:vml" id="rectole0000000018" style="width:192.350000pt;height:34.4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DrawAspect="Content" ObjectID="0000000018" ShapeID="rectole0000000018" r:id="docRId36"/>
        </w:object>
      </w:r>
    </w:p>
    <w:p>
      <w:pPr>
        <w:spacing w:before="0" w:after="0" w:line="240"/>
        <w:ind w:right="0" w:left="0" w:firstLine="20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353" w:dyaOrig="688">
          <v:rect xmlns:o="urn:schemas-microsoft-com:office:office" xmlns:v="urn:schemas-microsoft-com:vml" id="rectole0000000019" style="width:217.650000pt;height:34.4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DrawAspect="Content" ObjectID="0000000019" ShapeID="rectole0000000019" r:id="docRId38"/>
        </w:object>
      </w:r>
    </w:p>
    <w:p>
      <w:pPr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则偏态系数：</w:t>
      </w:r>
      <w:r>
        <w:object w:dxaOrig="2955" w:dyaOrig="627">
          <v:rect xmlns:o="urn:schemas-microsoft-com:office:office" xmlns:v="urn:schemas-microsoft-com:vml" id="rectole0000000020" style="width:147.750000pt;height:31.3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DrawAspect="Content" ObjectID="0000000020" ShapeID="rectole0000000020" r:id="docRId40"/>
        </w:object>
      </w:r>
    </w:p>
    <w:p>
      <w:p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360"/>
        <w:ind w:right="0" w:left="0" w:firstLine="60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峰度系数：</w:t>
      </w:r>
      <w:r>
        <w:object w:dxaOrig="3644" w:dyaOrig="627">
          <v:rect xmlns:o="urn:schemas-microsoft-com:office:office" xmlns:v="urn:schemas-microsoft-com:vml" id="rectole0000000021" style="width:182.200000pt;height:31.3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DrawAspect="Content" ObjectID="0000000021" ShapeID="rectole0000000021" r:id="docRId42"/>
        </w:object>
      </w:r>
    </w:p>
    <w:p>
      <w:pPr>
        <w:spacing w:before="0" w:after="0" w:line="360"/>
        <w:ind w:right="0" w:left="0" w:firstLine="60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60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6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5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20.bin" Id="docRId4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21.wmf" Id="docRId43" Type="http://schemas.openxmlformats.org/officeDocument/2006/relationships/image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embeddings/oleObject21.bin" Id="docRId42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styles.xml" Id="docRId45" Type="http://schemas.openxmlformats.org/officeDocument/2006/relationships/styles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numbering.xml" Id="docRId44" Type="http://schemas.openxmlformats.org/officeDocument/2006/relationships/numbering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/Relationships>
</file>