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Closed Form for What the Model Emits: Template Anchoring in Zero-Shot Circle Packing</w:t>
      </w:r>
    </w:p>
    <w:p>
      <w:r>
        <w:rPr>
          <w:b w:val="0"/>
        </w:rPr>
      </w:r>
      <w:r>
        <w:rPr>
          <w:b w:val="0"/>
          <w:i/>
        </w:rPr>
        <w:t>Workshop submission — 3-page compact version. Full technical report, preregistration hashes, ledgers, and deviations table available in the long version and accompanying repository.</w:t>
      </w:r>
      <w:r>
        <w:rPr>
          <w:b w:val="0"/>
        </w:rPr>
      </w:r>
    </w:p>
    <w:p>
      <w:pPr>
        <w:pStyle w:val="Heading1"/>
      </w:pPr>
      <w:r>
        <w:t>Abstract</w:t>
      </w:r>
    </w:p>
    <w:p>
      <w:r>
        <w:rPr>
          <w:b w:val="0"/>
        </w:rPr>
        <w:t xml:space="preserve">Language models are increasingly placed in the proposal role of discovery loops such as FunSearch and AlphaEvolve, on the assumption that their outputs explore a diverse solution space. We characterize one component of that assumption: the </w:t>
      </w:r>
      <w:r>
        <w:rPr>
          <w:b w:val="0"/>
          <w:i/>
        </w:rPr>
        <w:t>unconditioned</w:t>
      </w:r>
      <w:r>
        <w:rPr>
          <w:b w:val="0"/>
        </w:rPr>
        <w:t xml:space="preserve"> proposal — a single zero-shot, code-free call with no parent program, no fitness feedback, and no evaluator in context. On a classic constructive-geometry benchmark (maximize the sum of radii of N circles in a unit square), a weak-tier proposer does not search: it emits a grid-with- corner-fillers template and truncates it, even when a provably better construction is one parameter away. The behavior admits a closed form: a nearest-square order k</w:t>
      </w:r>
      <w:r>
        <w:rPr>
          <w:b w:val="0"/>
          <w:i/>
        </w:rPr>
        <w:t xml:space="preserve"> = round(√N) with a value function V(k, m) identifies the </w:t>
      </w:r>
      <w:r>
        <w:rPr>
          <w:b w:val="0"/>
        </w:rPr>
        <w:t>empirical modal output</w:t>
      </w:r>
      <w:r>
        <w:rPr>
          <w:b w:val="0"/>
          <w:i/>
        </w:rPr>
        <w:t xml:space="preserve"> at all seven tested N, to seven decimals. Per-sample agreement equals that modal frequency — 56–86% by cell — while a round-number baseline hits 2 of 69 valid samples. We preregistered these point predictions and tested them out of sample on two new containers (square and rectangle), restating but never refitting the rule. Across three nominal tiers we find an inversion: constructive ambition rises with tier while execution validity does not (78% → 100% → 13% at the primary 10⁻⁶ tolerance; the top-tier arm ran through an unattributable serving alias, opus_alias, flagged throughout). Requesting a method-naming trace line concentrates output onto the anchor (87% vs 70% on-prediction, p = 0.03 uncorrected — failing Holm over the registered family) with no detectable validity change. Our contribution relative to a growing diversity-collapse literature is not that collapse occurs — it is the expected default — but that its mode is predictable in closed form </w:t>
      </w:r>
      <w:r>
        <w:rPr>
          <w:b w:val="0"/>
        </w:rPr>
        <w:t>before* sampling.</w:t>
      </w:r>
    </w:p>
    <w:p>
      <w:pPr>
        <w:pStyle w:val="Heading1"/>
      </w:pPr>
      <w:r>
        <w:t>1. Introduction and closed form</w:t>
      </w:r>
    </w:p>
    <w:p>
      <w:r>
        <w:rPr>
          <w:b w:val="0"/>
        </w:rPr>
        <w:t>Ask a language model to place 21 circles in a unit square to maximize the sum of their radii, and it will not search. It reaches for the nearest square grid — five by five, radius 1/(2k) — then truncates it to 21 circles, leaving four cells empty. A better construction is one parameter away: drop to a 4×4 grid and add corner fillers of radius (√2−1)/(2k); the sum rises. The model does neither.</w:t>
      </w:r>
    </w:p>
    <w:p>
      <w:r>
        <w:rPr>
          <w:b w:val="0"/>
        </w:rPr>
        <w:t>The behavior is computable in advance. A k×k grid places one circle per cell center with r_grid = 1/(2k); m fillers sit on interior grid vertices tangent to their four neighbors, r_filler = (√2 − 1)/(2k), 0 ≤ m ≤ (k−1)². Hence V(k, m) = k/2 + m(√2 − 1)/(2k), with k</w:t>
      </w:r>
      <w:r>
        <w:rPr>
          <w:b w:val="0"/>
          <w:i/>
        </w:rPr>
        <w:t>(N) = round(√N) the nearest-square order. When N &lt; k</w:t>
      </w:r>
      <w:r>
        <w:rPr>
          <w:b w:val="0"/>
        </w:rPr>
        <w:t xml:space="preserve">² the model does not drop to a smaller grid and fill it but </w:t>
      </w:r>
      <w:r>
        <w:rPr>
          <w:b w:val="0"/>
          <w:i/>
        </w:rPr>
        <w:t>truncates</w:t>
      </w:r>
      <w:r>
        <w:rPr>
          <w:b w:val="0"/>
        </w:rPr>
        <w:t>, giving T(k, N) = N/(2k). k</w:t>
      </w:r>
      <w:r>
        <w:rPr>
          <w:b w:val="0"/>
          <w:i/>
        </w:rPr>
        <w:t xml:space="preserve">(N) is a definition, not a discovered law; the falsifiable content is the </w:t>
      </w:r>
      <w:r>
        <w:rPr>
          <w:b w:val="0"/>
        </w:rPr>
        <w:t>branch rule</w:t>
      </w:r>
      <w:r>
        <w:rPr>
          <w:b w:val="0"/>
          <w:i/>
        </w:rPr>
        <w:t xml:space="preserve"> — extend-and-fill (converge, k</w:t>
      </w:r>
      <w:r>
        <w:rPr>
          <w:b w:val="0"/>
        </w:rPr>
        <w:t>² ≤ N) versus truncate (trap, k</w:t>
      </w:r>
      <w:r>
        <w:rPr>
          <w:b w:val="0"/>
          <w:i/>
        </w:rPr>
        <w:t>² &gt; N). Trap zones — N ∈ [13,15], [21,24], [31,35], [43,48], [57,63] — track the signed distance N − k</w:t>
      </w:r>
      <w:r>
        <w:rPr>
          <w:b w:val="0"/>
        </w:rPr>
        <w:t>², not primality. "Trap" names the branch, not a guaranteed value loss: at N = 35 (and every N = k² − 1 with k ≥ 6) truncation is value-optimal within the family; the cells where value is genuinely left on the table are N = 13, 21, 31, 43, with gaps 0.15–0.17. Every value is checked against an independent LP oracle (83 configurations, both branches, drift below 10⁻⁹).</w:t>
      </w:r>
    </w:p>
    <w:p>
      <w:r>
        <w:rPr>
          <w:b w:val="0"/>
        </w:rPr>
        <w:t xml:space="preserve">Circle packing is the showcase benchmark of the LLM-driven discovery lineage FunSearch opened, carried forward by AlphaEvolve, ShinkaEvolve, and successors. Those systems query p(program | parent programs, fitness scores, evaluator feedback, generation t &gt; 0). We query p(coordinates | task description, no parent, no feedback, generation 0) — the </w:t>
      </w:r>
      <w:r>
        <w:rPr>
          <w:b w:val="0"/>
          <w:i/>
        </w:rPr>
        <w:t>unconditioned</w:t>
      </w:r>
      <w:r>
        <w:rPr>
          <w:b w:val="0"/>
        </w:rPr>
        <w:t xml:space="preserve"> call. A source audit finds no loop stage in the cited systems making precisely this call — FunSearch reseeds islands by cloning a best surviving program, ShinkaEvolve's stagnation restart re-seeds from its archive, OpenEvolve islands copy the user seed; every in-loop call is program-conditioned. The nearest relatives are initializations conditioned on a seed that "can be trivial" (FunSearch) or "rudimentary" (AlphaEvolve), plus AlphaEvolve's "No evolution" ablation; the unconditioned call is the limiting case these approach as seed information goes to zero. We do not claim to have measured the in-loop distribution. Finding this limit to be a template lookup, computable in advance, is actionable for loop builders: seed diversification, forced-k initialization, trap-N avoidance in benchmark selection.</w:t>
      </w:r>
    </w:p>
    <w:p>
      <w:r>
        <w:rPr>
          <w:b w:val="0"/>
        </w:rPr>
      </w:r>
      <w:r>
        <w:rPr>
          <w:b/>
        </w:rPr>
        <w:t>Contributions.</w:t>
      </w:r>
      <w:r>
        <w:rPr>
          <w:b w:val="0"/>
        </w:rPr>
        <w:t xml:space="preserve"> (1) A closed form — k</w:t>
      </w:r>
      <w:r>
        <w:rPr>
          <w:b w:val="0"/>
          <w:i/>
        </w:rPr>
        <w:t xml:space="preserve">(N), V(k, m), T(k, N) — naming the modal weak-tier output in advance, tested out of sample on a rectangle container whose rule was restated but never refitted. (2) A tier boundary: three attractor families, ambition rising monotonically while validity does not. (3) Trace elicitation as an </w:t>
      </w:r>
      <w:r>
        <w:rPr>
          <w:b w:val="0"/>
        </w:rPr>
        <w:t>intervention*: a method line perturbs the sampled distribution rather than merely observing it — reported with the fragility it carries, not as a demonstrated effect.</w:t>
      </w:r>
    </w:p>
    <w:p>
      <w:r>
        <w:rPr>
          <w:b w:val="0"/>
        </w:rPr>
      </w:r>
      <w:r>
        <w:rPr>
          <w:b/>
        </w:rPr>
        <w:t>Non-claim guard.</w:t>
      </w:r>
      <w:r>
        <w:rPr>
          <w:b w:val="0"/>
        </w:rPr>
        <w:t xml:space="preserve"> This is a behavioral regularity over emitted outputs, not a claim about mechanism inside the weights. A mechanism-free alternative, arithmetic tractability, predicts the same observations and was not tested.</w:t>
      </w:r>
    </w:p>
    <w:p>
      <w:pPr>
        <w:pStyle w:val="Heading1"/>
      </w:pPr>
      <w:r>
        <w:t>2. Preregistered forecast, out of sample</w:t>
      </w:r>
    </w:p>
    <w:p>
      <w:r>
        <w:rPr>
          <w:b w:val="0"/>
        </w:rPr>
        <w:t>Prompts were pinned and SHA-256-hashed before sampling; predictions were registered with an explicit falsifier. Validity is scored at both 10⁻⁹ and 10⁻⁶ (10⁻⁶ primary), fixed before data collection.</w:t>
      </w:r>
    </w:p>
    <w:p>
      <w:r>
        <w:rPr>
          <w:b w:val="0"/>
        </w:rPr>
      </w:r>
      <w:r>
        <w:rPr>
          <w:b/>
        </w:rPr>
        <w:t>Square container, held out.</w:t>
      </w:r>
      <w:r>
        <w:rPr>
          <w:b w:val="0"/>
        </w:rPr>
        <w:t xml:space="preserve"> Sampling a weak-tier (Haiku-class) proposer at seven N values, the predicted value equals the </w:t>
      </w:r>
      <w:r>
        <w:rPr>
          <w:b/>
        </w:rPr>
        <w:t>empirical modal output at all seven tested N</w:t>
      </w:r>
      <w:r>
        <w:rPr>
          <w:b w:val="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N</w:t>
            </w:r>
          </w:p>
        </w:tc>
        <w:tc>
          <w:tcPr>
            <w:tcW w:type="dxa" w:w="1728"/>
          </w:tcPr>
          <w:p>
            <w:r>
              <w:rPr>
                <w:b/>
                <w:sz w:val="18"/>
              </w:rPr>
              <w:t>predicted</w:t>
            </w:r>
          </w:p>
        </w:tc>
        <w:tc>
          <w:tcPr>
            <w:tcW w:type="dxa" w:w="1728"/>
          </w:tcPr>
          <w:p>
            <w:r>
              <w:rPr>
                <w:b/>
                <w:sz w:val="18"/>
              </w:rPr>
              <w:t>gap to best-in-family</w:t>
            </w:r>
          </w:p>
        </w:tc>
        <w:tc>
          <w:tcPr>
            <w:tcW w:type="dxa" w:w="1728"/>
          </w:tcPr>
          <w:p>
            <w:r>
              <w:rPr>
                <w:b/>
                <w:sz w:val="18"/>
              </w:rPr>
              <w:t>modal freq</w:t>
            </w:r>
          </w:p>
        </w:tc>
        <w:tc>
          <w:tcPr>
            <w:tcW w:type="dxa" w:w="1728"/>
          </w:tcPr>
          <w:p>
            <w:r>
              <w:rPr>
                <w:b/>
                <w:sz w:val="18"/>
              </w:rPr>
              <w:t>on-prediction / valid</w:t>
            </w:r>
          </w:p>
        </w:tc>
      </w:tr>
      <w:tr>
        <w:tc>
          <w:tcPr>
            <w:tcW w:type="dxa" w:w="1728"/>
          </w:tcPr>
          <w:p>
            <w:r>
              <w:rPr>
                <w:sz w:val="18"/>
              </w:rPr>
              <w:t>13</w:t>
            </w:r>
          </w:p>
        </w:tc>
        <w:tc>
          <w:tcPr>
            <w:tcW w:type="dxa" w:w="1728"/>
          </w:tcPr>
          <w:p>
            <w:r>
              <w:rPr>
                <w:sz w:val="18"/>
              </w:rPr>
              <w:t>1.6250000</w:t>
            </w:r>
          </w:p>
        </w:tc>
        <w:tc>
          <w:tcPr>
            <w:tcW w:type="dxa" w:w="1728"/>
          </w:tcPr>
          <w:p>
            <w:r>
              <w:rPr>
                <w:sz w:val="18"/>
              </w:rPr>
              <w:t>+0.1511</w:t>
            </w:r>
          </w:p>
        </w:tc>
        <w:tc>
          <w:tcPr>
            <w:tcW w:type="dxa" w:w="1728"/>
          </w:tcPr>
          <w:p>
            <w:r>
              <w:rPr>
                <w:sz w:val="18"/>
              </w:rPr>
              <w:t>10/18</w:t>
            </w:r>
          </w:p>
        </w:tc>
        <w:tc>
          <w:tcPr>
            <w:tcW w:type="dxa" w:w="1728"/>
          </w:tcPr>
          <w:p>
            <w:r>
              <w:rPr>
                <w:sz w:val="18"/>
              </w:rPr>
              <w:t>56%</w:t>
            </w:r>
          </w:p>
        </w:tc>
      </w:tr>
      <w:tr>
        <w:tc>
          <w:tcPr>
            <w:tcW w:type="dxa" w:w="1728"/>
          </w:tcPr>
          <w:p>
            <w:r>
              <w:rPr>
                <w:sz w:val="18"/>
              </w:rPr>
              <w:t>17</w:t>
            </w:r>
          </w:p>
        </w:tc>
        <w:tc>
          <w:tcPr>
            <w:tcW w:type="dxa" w:w="1728"/>
          </w:tcPr>
          <w:p>
            <w:r>
              <w:rPr>
                <w:sz w:val="18"/>
              </w:rPr>
              <w:t>2.0517767</w:t>
            </w:r>
          </w:p>
        </w:tc>
        <w:tc>
          <w:tcPr>
            <w:tcW w:type="dxa" w:w="1728"/>
          </w:tcPr>
          <w:p>
            <w:r>
              <w:rPr>
                <w:sz w:val="18"/>
              </w:rPr>
              <w:t>0</w:t>
            </w:r>
          </w:p>
        </w:tc>
        <w:tc>
          <w:tcPr>
            <w:tcW w:type="dxa" w:w="1728"/>
          </w:tcPr>
          <w:p>
            <w:r>
              <w:rPr>
                <w:sz w:val="18"/>
              </w:rPr>
              <w:t>3/4</w:t>
            </w:r>
          </w:p>
        </w:tc>
        <w:tc>
          <w:tcPr>
            <w:tcW w:type="dxa" w:w="1728"/>
          </w:tcPr>
          <w:p>
            <w:r>
              <w:rPr>
                <w:sz w:val="18"/>
              </w:rPr>
              <w:t>75%</w:t>
            </w:r>
          </w:p>
        </w:tc>
      </w:tr>
      <w:tr>
        <w:tc>
          <w:tcPr>
            <w:tcW w:type="dxa" w:w="1728"/>
          </w:tcPr>
          <w:p>
            <w:r>
              <w:rPr>
                <w:sz w:val="18"/>
              </w:rPr>
              <w:t>21</w:t>
            </w:r>
          </w:p>
        </w:tc>
        <w:tc>
          <w:tcPr>
            <w:tcW w:type="dxa" w:w="1728"/>
          </w:tcPr>
          <w:p>
            <w:r>
              <w:rPr>
                <w:sz w:val="18"/>
              </w:rPr>
              <w:t>2.1000000</w:t>
            </w:r>
          </w:p>
        </w:tc>
        <w:tc>
          <w:tcPr>
            <w:tcW w:type="dxa" w:w="1728"/>
          </w:tcPr>
          <w:p>
            <w:r>
              <w:rPr>
                <w:sz w:val="18"/>
              </w:rPr>
              <w:t>+0.1589</w:t>
            </w:r>
          </w:p>
        </w:tc>
        <w:tc>
          <w:tcPr>
            <w:tcW w:type="dxa" w:w="1728"/>
          </w:tcPr>
          <w:p>
            <w:r>
              <w:rPr>
                <w:sz w:val="18"/>
              </w:rPr>
              <w:t>12/15</w:t>
            </w:r>
          </w:p>
        </w:tc>
        <w:tc>
          <w:tcPr>
            <w:tcW w:type="dxa" w:w="1728"/>
          </w:tcPr>
          <w:p>
            <w:r>
              <w:rPr>
                <w:sz w:val="18"/>
              </w:rPr>
              <w:t>80%</w:t>
            </w:r>
          </w:p>
        </w:tc>
      </w:tr>
      <w:tr>
        <w:tc>
          <w:tcPr>
            <w:tcW w:type="dxa" w:w="1728"/>
          </w:tcPr>
          <w:p>
            <w:r>
              <w:rPr>
                <w:sz w:val="18"/>
              </w:rPr>
              <w:t>31</w:t>
            </w:r>
          </w:p>
        </w:tc>
        <w:tc>
          <w:tcPr>
            <w:tcW w:type="dxa" w:w="1728"/>
          </w:tcPr>
          <w:p>
            <w:r>
              <w:rPr>
                <w:sz w:val="18"/>
              </w:rPr>
              <w:t>2.5833333</w:t>
            </w:r>
          </w:p>
        </w:tc>
        <w:tc>
          <w:tcPr>
            <w:tcW w:type="dxa" w:w="1728"/>
          </w:tcPr>
          <w:p>
            <w:r>
              <w:rPr>
                <w:sz w:val="18"/>
              </w:rPr>
              <w:t>+0.1652</w:t>
            </w:r>
          </w:p>
        </w:tc>
        <w:tc>
          <w:tcPr>
            <w:tcW w:type="dxa" w:w="1728"/>
          </w:tcPr>
          <w:p>
            <w:r>
              <w:rPr>
                <w:sz w:val="18"/>
              </w:rPr>
              <w:t>13/17</w:t>
            </w:r>
          </w:p>
        </w:tc>
        <w:tc>
          <w:tcPr>
            <w:tcW w:type="dxa" w:w="1728"/>
          </w:tcPr>
          <w:p>
            <w:r>
              <w:rPr>
                <w:sz w:val="18"/>
              </w:rPr>
              <w:t>76%</w:t>
            </w:r>
          </w:p>
        </w:tc>
      </w:tr>
      <w:tr>
        <w:tc>
          <w:tcPr>
            <w:tcW w:type="dxa" w:w="1728"/>
          </w:tcPr>
          <w:p>
            <w:r>
              <w:rPr>
                <w:sz w:val="18"/>
              </w:rPr>
              <w:t>35</w:t>
            </w:r>
          </w:p>
        </w:tc>
        <w:tc>
          <w:tcPr>
            <w:tcW w:type="dxa" w:w="1728"/>
          </w:tcPr>
          <w:p>
            <w:r>
              <w:rPr>
                <w:sz w:val="18"/>
              </w:rPr>
              <w:t>2.9166667</w:t>
            </w:r>
          </w:p>
        </w:tc>
        <w:tc>
          <w:tcPr>
            <w:tcW w:type="dxa" w:w="1728"/>
          </w:tcPr>
          <w:p>
            <w:r>
              <w:rPr>
                <w:sz w:val="18"/>
              </w:rPr>
              <w:t>0</w:t>
            </w:r>
          </w:p>
        </w:tc>
        <w:tc>
          <w:tcPr>
            <w:tcW w:type="dxa" w:w="1728"/>
          </w:tcPr>
          <w:p>
            <w:r>
              <w:rPr>
                <w:sz w:val="18"/>
              </w:rPr>
              <w:t>3/4</w:t>
            </w:r>
          </w:p>
        </w:tc>
        <w:tc>
          <w:tcPr>
            <w:tcW w:type="dxa" w:w="1728"/>
          </w:tcPr>
          <w:p>
            <w:r>
              <w:rPr>
                <w:sz w:val="18"/>
              </w:rPr>
              <w:t>75%</w:t>
            </w:r>
          </w:p>
        </w:tc>
      </w:tr>
      <w:tr>
        <w:tc>
          <w:tcPr>
            <w:tcW w:type="dxa" w:w="1728"/>
          </w:tcPr>
          <w:p>
            <w:r>
              <w:rPr>
                <w:sz w:val="18"/>
              </w:rPr>
              <w:t>37</w:t>
            </w:r>
          </w:p>
        </w:tc>
        <w:tc>
          <w:tcPr>
            <w:tcW w:type="dxa" w:w="1728"/>
          </w:tcPr>
          <w:p>
            <w:r>
              <w:rPr>
                <w:sz w:val="18"/>
              </w:rPr>
              <w:t>3.0345178</w:t>
            </w:r>
          </w:p>
        </w:tc>
        <w:tc>
          <w:tcPr>
            <w:tcW w:type="dxa" w:w="1728"/>
          </w:tcPr>
          <w:p>
            <w:r>
              <w:rPr>
                <w:sz w:val="18"/>
              </w:rPr>
              <w:t>0</w:t>
            </w:r>
          </w:p>
        </w:tc>
        <w:tc>
          <w:tcPr>
            <w:tcW w:type="dxa" w:w="1728"/>
          </w:tcPr>
          <w:p>
            <w:r>
              <w:rPr>
                <w:sz w:val="18"/>
              </w:rPr>
              <w:t>3/4</w:t>
            </w:r>
          </w:p>
        </w:tc>
        <w:tc>
          <w:tcPr>
            <w:tcW w:type="dxa" w:w="1728"/>
          </w:tcPr>
          <w:p>
            <w:r>
              <w:rPr>
                <w:sz w:val="18"/>
              </w:rPr>
              <w:t>75%</w:t>
            </w:r>
          </w:p>
        </w:tc>
      </w:tr>
      <w:tr>
        <w:tc>
          <w:tcPr>
            <w:tcW w:type="dxa" w:w="1728"/>
          </w:tcPr>
          <w:p>
            <w:r>
              <w:rPr>
                <w:sz w:val="18"/>
              </w:rPr>
              <w:t>43</w:t>
            </w:r>
          </w:p>
        </w:tc>
        <w:tc>
          <w:tcPr>
            <w:tcW w:type="dxa" w:w="1728"/>
          </w:tcPr>
          <w:p>
            <w:r>
              <w:rPr>
                <w:sz w:val="18"/>
              </w:rPr>
              <w:t>3.0714286</w:t>
            </w:r>
          </w:p>
        </w:tc>
        <w:tc>
          <w:tcPr>
            <w:tcW w:type="dxa" w:w="1728"/>
          </w:tcPr>
          <w:p>
            <w:r>
              <w:rPr>
                <w:sz w:val="18"/>
              </w:rPr>
              <w:t>+0.1702</w:t>
            </w:r>
          </w:p>
        </w:tc>
        <w:tc>
          <w:tcPr>
            <w:tcW w:type="dxa" w:w="1728"/>
          </w:tcPr>
          <w:p>
            <w:r>
              <w:rPr>
                <w:sz w:val="18"/>
              </w:rPr>
              <w:t>6/7</w:t>
            </w:r>
          </w:p>
        </w:tc>
        <w:tc>
          <w:tcPr>
            <w:tcW w:type="dxa" w:w="1728"/>
          </w:tcPr>
          <w:p>
            <w:r>
              <w:rPr>
                <w:sz w:val="18"/>
              </w:rPr>
              <w:t>86%</w:t>
            </w:r>
          </w:p>
        </w:tc>
      </w:tr>
    </w:tbl>
    <w:p>
      <w:r>
        <w:rPr>
          <w:b w:val="0"/>
        </w:rPr>
        <w:t>No predictor of a single value can exceed the modal frequency, and this one attains it at all 7 cells: the residual is dispersion, not misprediction. The prediction itself is categorical — which template, and hence its computed value; the seven-decimal match verifies the identification rather than adding evidential strength. Two baselines: a naive "round number" null hits 2 of the same 69 valid samples, and the stronger null we use for the rectangle — a proposer uniform over a few plausible template shapes, roughly one third on-prediction — is cleared by each of the three powered cells (56%, 80%, 76% at n ≥ 15 valid). The four cells with n ≤ 7 valid are individually underpowered (Wilson 95% CI on 3/4 spans roughly [30%, 95%]) and count as replications of the pattern, not independent confirmations. Pooled across every tier and container the on-prediction rate is 46% — higher tiers are almost never on-prediction, so the closed form is a weak-tier law.</w:t>
      </w:r>
    </w:p>
    <w:p>
      <w:pPr>
        <w:pStyle w:val="Title"/>
      </w:pPr>
      <w:r>
        <w:drawing>
          <wp:inline xmlns:a="http://schemas.openxmlformats.org/drawingml/2006/main" xmlns:pic="http://schemas.openxmlformats.org/drawingml/2006/picture">
            <wp:extent cx="5120640" cy="295737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120640" cy="2957375"/>
                    </a:xfrm>
                    <a:prstGeom prst="rect"/>
                  </pic:spPr>
                </pic:pic>
              </a:graphicData>
            </a:graphic>
          </wp:inline>
        </w:drawing>
      </w:r>
    </w:p>
    <w:p>
      <w:pPr>
        <w:pStyle w:val="Title"/>
      </w:pPr>
      <w:r>
        <w:rPr>
          <w:i/>
          <w:sz w:val="17"/>
        </w:rPr>
        <w:t>Figure 1: Predicted value (= empirical modal output at all 7 N) against the best value available inside the recipe family. Red segments mark the four cells where the emitted template leaves value on the table (gaps +0.151 to +0.170); at N = 17, 35, 37 the prediction is family-optimal.</w:t>
      </w:r>
    </w:p>
    <w:p>
      <w:r>
        <w:rPr>
          <w:b w:val="0"/>
        </w:rPr>
      </w:r>
      <w:r>
        <w:rPr>
          <w:b/>
        </w:rPr>
        <w:t>Out-of-sample transfer.</w:t>
      </w:r>
      <w:r>
        <w:rPr>
          <w:b w:val="0"/>
        </w:rPr>
        <w:t xml:space="preserve"> For a 1×a rectangle the template gains an aspect-corrected pair of parameters (q</w:t>
      </w:r>
      <w:r>
        <w:rPr>
          <w:b w:val="0"/>
          <w:i/>
        </w:rPr>
        <w:t>, p</w:t>
      </w:r>
      <w:r>
        <w:rPr>
          <w:b w:val="0"/>
        </w:rPr>
        <w:t xml:space="preserve">, collapsing to round(√N) at a = 1), restated but never refitted. Probing two sharpest cells in a container none had seen before (N = 19 at a = 3; N = 25 at a = 2), </w:t>
      </w:r>
      <w:r>
        <w:rPr>
          <w:b/>
        </w:rPr>
        <w:t>5 of 11 valid proposals landed on the predicted value and 0 of 11 reached the rival argmax</w:t>
      </w:r>
      <w:r>
        <w:rPr>
          <w:b w:val="0"/>
        </w:rPr>
        <w:t>: partial out-of-sample support, not confirmation — 5/11 = 45%, Wilson 95% CI [21%, 72%], and a proposer choosing uniformly among a few plausible template shapes would land on-prediction roughly a third of the time, so 5/11 does not cleanly separate from that null. The closed-form value function itself does not survive the move to rectangles; what transfers is the rule, evaluated against an LP oracle rather than a closed expression.</w:t>
      </w:r>
    </w:p>
    <w:p>
      <w:pPr>
        <w:pStyle w:val="Heading1"/>
      </w:pPr>
      <w:r>
        <w:t>3. The tier ladder: three attractor families</w:t>
      </w:r>
    </w:p>
    <w:p>
      <w:r>
        <w:rPr>
          <w:b w:val="0"/>
        </w:rPr>
        <w:t>Holding prompt, container, and scoring fixed, we varied only the nominal proposer tier at the three hardest-discriminating cells (N = 13, 21, 31). The weak tier truncates uniform grids: 35 of 45 invocations valid at 10⁻⁶ (78%), 29 of 45 at 10⁻⁹ (64%). A middle tier (Sonnet-class) perturbs and mixes templates — enlarged edge rows, hexagonal interior rows, multi-radius packings — valid 30/30 at 10⁻⁶ (100%), 27/30 (90%) at 10⁻⁹, but almost never on-prediction. A third arm, addressed only through a bare serving alias with no attestable weights binding (opus_alias, flagged with that caveat throughout and never referred to as any specific dated model), attempts recursive gasket-style constructions and is valid in 4 of 30 invocations (13%) at both tolerances, failing mostly on geometric overlap rather than numerical error. A post-hoc diagnostic (not preregistered; labeled as such in the repository) rules out a tolerance artifact behind that 13%: 24 of 26 invalid samples overlap grossly (median maximum overlap 3.3×10⁻²; radius-shrink repair costs a median 15% of sum-of-radii), while tolerance-scale near-misses (&lt; 2.5×10⁻⁵) occur instead in 5 of 7 geometry-scored weak-tier failures — the exact-tangency grids, not the ambitious constructions. The ladder: 78% → 100% → 13% (64% → 90% → 13% at the stricter tolerance). "Monotone" applies to ambition only, while validity rises then collapses — a boundary condition on the main result: the branch rule is a weak-tier law, holding at the tier furthest from what discovery-loop proposers typically use.</w:t>
      </w:r>
    </w:p>
    <w:p>
      <w:pPr>
        <w:pStyle w:val="Title"/>
      </w:pPr>
      <w:r>
        <w:drawing>
          <wp:inline xmlns:a="http://schemas.openxmlformats.org/drawingml/2006/main" xmlns:pic="http://schemas.openxmlformats.org/drawingml/2006/picture">
            <wp:extent cx="4389120" cy="266529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389120" cy="2665296"/>
                    </a:xfrm>
                    <a:prstGeom prst="rect"/>
                  </pic:spPr>
                </pic:pic>
              </a:graphicData>
            </a:graphic>
          </wp:inline>
        </w:drawing>
      </w:r>
    </w:p>
    <w:p>
      <w:pPr>
        <w:pStyle w:val="Title"/>
      </w:pPr>
      <w:r>
        <w:rPr>
          <w:i/>
          <w:sz w:val="17"/>
        </w:rPr>
        <w:t>Figure 2: Ambition rises with tier while validity does not. Matched cells; on-prediction: 35/50, 1/30, 0/4. ‡ opus_alias = unattributable serving alias, caveat as in text.</w:t>
      </w:r>
    </w:p>
    <w:p>
      <w:pPr>
        <w:pStyle w:val="Heading1"/>
      </w:pPr>
      <w:r>
        <w:t>4. Trace elicitation as an intervention</w:t>
      </w:r>
    </w:p>
    <w:p>
      <w:r>
        <w:rPr>
          <w:b w:val="0"/>
        </w:rPr>
        <w:t xml:space="preserve">A preregistered scaled arm (100 new invocations) compared a bare prompt against a near-minimal variant requesting a leading METHOD: line. Validity showed no detectable change (53/60 trace vs 50/60 bare, p = 0.30, a failure to detect rather than evidence of no effect). Anchor concentration met its registered directional criterion — </w:t>
      </w:r>
      <w:r>
        <w:rPr>
          <w:b/>
        </w:rPr>
        <w:t>87% (46/53) of trace-arm valid samples landed on the predicted construction against 70% (35/50) of bare samples</w:t>
      </w:r>
      <w:r>
        <w:rPr>
          <w:b w:val="0"/>
        </w:rPr>
        <w:t xml:space="preserve"> — but this is inferentially fragile: the p-value (p = 0.0325, one-sided, uncorrected) fails the Holm threshold (0.0167) over the registered family of three tested predictions, and the pooled gap is driven almost entirely by one of three cells (N = 13); a post hoc comparison further shows the bare arm's own between-wave drift is comparable in size to the effect attributed to the manipulation. We report this finding as </w:t>
      </w:r>
      <w:r>
        <w:rPr>
          <w:b w:val="0"/>
          <w:i/>
        </w:rPr>
        <w:t>met as registered</w:t>
      </w:r>
      <w:r>
        <w:rPr>
          <w:b w:val="0"/>
        </w:rPr>
        <w:t>, never as a confirmed or demonstrated effect. Method lines are independently checkable against emitted coordinates: a blind hand-adjudication finds 54 of 56 scoreable claims (96.4%) describe the object actually built, Wilson 95% CI [88%, 99%].</w:t>
      </w:r>
    </w:p>
    <w:p>
      <w:pPr>
        <w:pStyle w:val="Heading1"/>
      </w:pPr>
      <w:r>
        <w:t>5. Limitations</w:t>
      </w:r>
    </w:p>
    <w:p>
      <w:r>
        <w:rPr>
          <w:b w:val="0"/>
        </w:rPr>
        <w:t>All tiers come from a single vendor. Two preregistered cross-vendor extensions are in progress: arm GM (gemini-2.5-flash-lite) is quota-throttled and incomplete, no output analyzed; arm GM2 (gemma-4-26b-a4b-it) completed 140/140 invocations with a null-compliance outcome — 0 of 140 responses parseable under the registered pipeline — ambiguous between format inability and budget truncation; a follow-up with an enlarged budget (arm GM3) is running, cause deferred until it reports. Sampling parameters are not exposed by the runtime, so every effect is a distributional claim over an unpinned regime. Contamination is not probed: N = 26 is plausibly in training data, no canary-string test was run.</w:t>
      </w:r>
    </w:p>
    <w:p>
      <w:pPr>
        <w:pStyle w:val="Heading1"/>
      </w:pPr>
      <w:r>
        <w:t>6. Related work and positioning</w:t>
      </w:r>
    </w:p>
    <w:p>
      <w:r>
        <w:rPr>
          <w:b w:val="0"/>
        </w:rPr>
        <w:t xml:space="preserve">Collapse onto a narrow output mode under an unconditioned or weakly-conditioned LLM call is a known default, not a novel observation: "Artificial Hivemind" (2510.22954) documents the same homogeneity across open-ended domains at survey scale; "The Price of Format" (2505.18949) shows format constraints collapsing generation diversity; "Mutation Without Variation" (2606.05408) finds iterated LLM mutation loops collapsing onto previously seen templates; and "Measuring the Gap Between Human and LLM Research Ideas" (2607.01233) reports the same collapse one level up, in idea space. Our contribution is not that collapse occurs — it is the expected default — but that, here, the collapsed mode's value is predictable to seven decimals </w:t>
      </w:r>
      <w:r>
        <w:rPr>
          <w:b w:val="0"/>
          <w:i/>
        </w:rPr>
        <w:t>before</w:t>
      </w:r>
      <w:r>
        <w:rPr>
          <w:b w:val="0"/>
        </w:rPr>
        <w:t xml:space="preserve"> sampling. Relative to AlphaEvolve/ShinkaEvolve: those systems measure what a search loop converges to under parent conditioning, fitness feedback, and an evaluator in context; we measure the unconditioned proposal such loops implicitly assume is diverse when initialized from trivial seeds — a different, load-bearing, quantity.</w:t>
      </w:r>
    </w:p>
    <w:p>
      <w:r>
        <w:rPr>
          <w:b w:val="0"/>
        </w:rPr>
      </w:r>
      <w:r>
        <w:rPr>
          <w:b w:val="0"/>
          <w:i/>
        </w:rPr>
        <w:t>Full preregistration protocol, prompt hashes, raw ledgers, the deviations table, and reproduction scripts are available in the long version of this paper and its accompanying repository.</w:t>
      </w: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