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3261E"/>
          <w:sz w:val="44"/>
          <w:szCs w:val="44"/>
        </w:rPr>
        <w:t xml:space="preserve">IntruSex-BH</w:t>
      </w:r>
    </w:p>
    <w:p>
      <w:pPr>
        <w:spacing w:after="60"/>
        <w:jc w:val="center"/>
      </w:pPr>
      <w:r>
        <w:rPr>
          <w:i/>
          <w:iCs/>
          <w:color w:val="333333"/>
          <w:sz w:val="24"/>
          <w:szCs w:val="24"/>
        </w:rPr>
        <w:t xml:space="preserve">Behaviour-Driven Blackhole Attack Detection &amp; Explainable Risk Intelligence in SDN</w:t>
      </w:r>
    </w:p>
    <w:p>
      <w:pPr>
        <w:spacing w:after="300"/>
        <w:jc w:val="center"/>
      </w:pPr>
      <w:r>
        <w:rPr>
          <w:color w:val="777777"/>
          <w:sz w:val="18"/>
          <w:szCs w:val="18"/>
        </w:rPr>
        <w:t xml:space="preserve">Final Architecture Reference Document  |  Kinjal Shekhar  |  2901-KS</w:t>
      </w:r>
    </w:p>
    <w:p>
      <w:pPr>
        <w:pStyle w:val="Heading2"/>
        <w:spacing w:after="120" w:before="300"/>
      </w:pPr>
      <w:r>
        <w:rPr>
          <w:b/>
          <w:bCs/>
          <w:color w:val="0F766E"/>
          <w:sz w:val="24"/>
          <w:szCs w:val="24"/>
        </w:rPr>
        <w:t xml:space="preserve">0. Purpose of this document</w:t>
      </w:r>
    </w:p>
    <w:p>
      <w:pPr>
        <w:spacing w:after="120"/>
      </w:pPr>
      <w:r>
        <w:rPr>
          <w:sz w:val="21"/>
          <w:szCs w:val="21"/>
        </w:rPr>
        <w:t xml:space="preserve">This is the locked reference architecture for the project, consolidating all decisions made so far: the Phase 1 simulation/data pipeline (already built), the Phase 2 detection &amp; intelligence layer (box-by-box), the dataset strategy for parallel development, and the exact build order going forward. Use this as the single source of truth in future sessions.</w:t>
      </w:r>
    </w:p>
    <w:p>
      <w:pPr>
        <w:pStyle w:val="Heading1"/>
        <w:pBdr>
          <w:bottom w:val="single" w:color="B3261E" w:sz="12" w:space="4"/>
        </w:pBdr>
        <w:spacing w:after="200" w:before="400"/>
      </w:pPr>
      <w:r>
        <w:rPr>
          <w:b/>
          <w:bCs/>
          <w:color w:val="B3261E"/>
          <w:sz w:val="30"/>
          <w:szCs w:val="30"/>
        </w:rPr>
        <w:t xml:space="preserve">1. Project Framing</w:t>
      </w:r>
    </w:p>
    <w:p>
      <w:pPr>
        <w:spacing w:after="80" w:before="200"/>
      </w:pPr>
      <w:r>
        <w:rPr>
          <w:b/>
          <w:bCs/>
          <w:color w:val="B7791F"/>
          <w:sz w:val="21"/>
          <w:szCs w:val="21"/>
        </w:rPr>
        <w:t xml:space="preserve">Core idea</w:t>
      </w:r>
    </w:p>
    <w:p>
      <w:pPr>
        <w:spacing w:after="120"/>
      </w:pPr>
      <w:r>
        <w:rPr>
          <w:sz w:val="21"/>
          <w:szCs w:val="21"/>
        </w:rPr>
        <w:t xml:space="preserve">Detect and progressively analyse a Blackhole attack inside a multi-hop SDN topology (Mininet + Ryu, OpenFlow), using controller-level telemetry rather than IP-based or generic flow-level features. The system tracks the attack through its natural lifecycle (S0–S3), predicts where it is heading next using a feature-weighted semi-Markov model, scores risk contextually, and explains every decision (XAI) instead of behaving as a black box itself.</w:t>
      </w:r>
    </w:p>
    <w:p>
      <w:pPr>
        <w:spacing w:after="80" w:before="200"/>
      </w:pPr>
      <w:r>
        <w:rPr>
          <w:b/>
          <w:bCs/>
          <w:color w:val="B7791F"/>
          <w:sz w:val="21"/>
          <w:szCs w:val="21"/>
        </w:rPr>
        <w:t xml:space="preserve">Two-phase structure</w:t>
      </w:r>
    </w:p>
    <w:p>
      <w:pPr>
        <w:pStyle w:val="ListParagraph"/>
        <w:numPr>
          <w:ilvl w:val="0"/>
          <w:numId w:val="2"/>
        </w:numPr>
        <w:spacing w:after="60"/>
      </w:pPr>
      <w:r>
        <w:rPr>
          <w:sz w:val="20"/>
          <w:szCs w:val="20"/>
        </w:rPr>
        <w:t xml:space="preserve">Phase 1 — Simulation &amp; Instrumentation: Mininet topology + Ryu controller + feature extraction + dataset collection (already built, fixes pending).</w:t>
      </w:r>
    </w:p>
    <w:p>
      <w:pPr>
        <w:pStyle w:val="ListParagraph"/>
        <w:numPr>
          <w:ilvl w:val="0"/>
          <w:numId w:val="2"/>
        </w:numPr>
        <w:spacing w:after="60"/>
      </w:pPr>
      <w:r>
        <w:rPr>
          <w:sz w:val="20"/>
          <w:szCs w:val="20"/>
        </w:rPr>
        <w:t xml:space="preserve">Phase 2 — Detection &amp; Intelligence: eight boxes (A–H) that consume Phase 1's data, classify stage, build sessions, predict transitions, score risk, threshold alerts, and explain everything.</w:t>
      </w:r>
    </w:p>
    <w:p>
      <w:pPr>
        <w:spacing w:after="80" w:before="200"/>
      </w:pPr>
      <w:r>
        <w:rPr>
          <w:b/>
          <w:bCs/>
          <w:color w:val="B7791F"/>
          <w:sz w:val="21"/>
          <w:szCs w:val="21"/>
        </w:rPr>
        <w:t xml:space="preserve">Key design decision: native stage model, not generic MITRE</w:t>
      </w:r>
    </w:p>
    <w:p>
      <w:pPr>
        <w:spacing w:after="120"/>
      </w:pPr>
      <w:r>
        <w:rPr>
          <w:sz w:val="21"/>
          <w:szCs w:val="21"/>
        </w:rPr>
        <w:t xml:space="preserve">The attack has its own natural kill-chain, defined in the original Blackhole IDS paper:</w:t>
      </w:r>
    </w:p>
    <w:p>
      <w:pPr>
        <w:pStyle w:val="ListParagraph"/>
        <w:numPr>
          <w:ilvl w:val="0"/>
          <w:numId w:val="2"/>
        </w:numPr>
        <w:spacing w:after="60"/>
      </w:pPr>
      <w:r>
        <w:rPr>
          <w:sz w:val="20"/>
          <w:szCs w:val="20"/>
        </w:rPr>
        <w:t xml:space="preserve">S0 — Normal routing behaviour</w:t>
      </w:r>
    </w:p>
    <w:p>
      <w:pPr>
        <w:pStyle w:val="ListParagraph"/>
        <w:numPr>
          <w:ilvl w:val="0"/>
          <w:numId w:val="2"/>
        </w:numPr>
        <w:spacing w:after="60"/>
      </w:pPr>
      <w:r>
        <w:rPr>
          <w:sz w:val="20"/>
          <w:szCs w:val="20"/>
        </w:rPr>
        <w:t xml:space="preserve">S1 — Route attraction state (attack initiates)</w:t>
      </w:r>
    </w:p>
    <w:p>
      <w:pPr>
        <w:pStyle w:val="ListParagraph"/>
        <w:numPr>
          <w:ilvl w:val="0"/>
          <w:numId w:val="2"/>
        </w:numPr>
        <w:spacing w:after="60"/>
      </w:pPr>
      <w:r>
        <w:rPr>
          <w:sz w:val="20"/>
          <w:szCs w:val="20"/>
        </w:rPr>
        <w:t xml:space="preserve">S2 — Traffic concentration state (node becomes dominant hub)</w:t>
      </w:r>
    </w:p>
    <w:p>
      <w:pPr>
        <w:pStyle w:val="ListParagraph"/>
        <w:numPr>
          <w:ilvl w:val="0"/>
          <w:numId w:val="2"/>
        </w:numPr>
        <w:spacing w:after="60"/>
      </w:pPr>
      <w:r>
        <w:rPr>
          <w:sz w:val="20"/>
          <w:szCs w:val="20"/>
        </w:rPr>
        <w:t xml:space="preserve">S3 — Packet absorption state (packets start dropping)</w:t>
      </w:r>
    </w:p>
    <w:p>
      <w:pPr>
        <w:spacing w:after="120"/>
      </w:pPr>
      <w:r>
        <w:rPr>
          <w:sz w:val="21"/>
          <w:szCs w:val="21"/>
        </w:rPr>
        <w:t xml:space="preserve">S0–S3 is the primary label used everywhere in the pipeline. Generic MITRE ATT&amp;CK tags (Reconnaissance, Lateral Movement, Impact, etc.) are attached only as an optional interpretability overlay for the report — they do not drive any logic.</w:t>
      </w:r>
    </w:p>
    <w:p>
      <w:pPr>
        <w:pStyle w:val="Heading1"/>
        <w:pBdr>
          <w:bottom w:val="single" w:color="B3261E" w:sz="12" w:space="4"/>
        </w:pBdr>
        <w:spacing w:after="200" w:before="400"/>
      </w:pPr>
      <w:r>
        <w:rPr>
          <w:b/>
          <w:bCs/>
          <w:color w:val="B3261E"/>
          <w:sz w:val="30"/>
          <w:szCs w:val="30"/>
        </w:rPr>
        <w:t xml:space="preserve">2. Topology &amp; Attack Model (Phase 1 ground truth)</w:t>
      </w:r>
    </w:p>
    <w:p>
      <w:pPr>
        <w:spacing w:after="120"/>
      </w:pPr>
      <w:r>
        <w:rPr>
          <w:sz w:val="21"/>
          <w:szCs w:val="21"/>
        </w:rPr>
        <w:t xml:space="preserve">9 OVS switches (s1–s9, OpenFlow 1.3), SRC on s1, DST on s9, s8 = GBH (rogue node). Two structural paths converge at s9:</w:t>
      </w:r>
    </w:p>
    <w:p>
      <w:pPr>
        <w:pStyle w:val="ListParagraph"/>
        <w:numPr>
          <w:ilvl w:val="0"/>
          <w:numId w:val="2"/>
        </w:numPr>
        <w:spacing w:after="60"/>
      </w:pPr>
      <w:r>
        <w:rPr>
          <w:sz w:val="20"/>
          <w:szCs w:val="20"/>
        </w:rPr>
        <w:t xml:space="preserve">P1 (upper): SRC → s1 → s2/s3 → s7 → s9 → DST</w:t>
      </w:r>
    </w:p>
    <w:p>
      <w:pPr>
        <w:pStyle w:val="ListParagraph"/>
        <w:numPr>
          <w:ilvl w:val="0"/>
          <w:numId w:val="2"/>
        </w:numPr>
        <w:spacing w:after="60"/>
      </w:pPr>
      <w:r>
        <w:rPr>
          <w:sz w:val="20"/>
          <w:szCs w:val="20"/>
        </w:rPr>
        <w:t xml:space="preserve">P2 (lower): SRC → s1 → s4 → s5/s6 → s8(GBH) → s9 → DST</w:t>
      </w:r>
    </w:p>
    <w:p>
      <w:pPr>
        <w:spacing w:after="120"/>
      </w:pPr>
      <w:r>
        <w:rPr>
          <w:sz w:val="21"/>
          <w:szCs w:val="21"/>
        </w:rPr>
        <w:t xml:space="preserve">s7↔s8 has no physical link — s8 advertises itself to s7 via a fake RREQ-equivalent probe frame (custom ethertype) at the controller level. This is the logical/virtual link the attack exploits.</w:t>
      </w:r>
    </w:p>
    <w:p>
      <w:pPr>
        <w:spacing w:after="80" w:before="200"/>
      </w:pPr>
      <w:r>
        <w:rPr>
          <w:b/>
          <w:bCs/>
          <w:color w:val="B7791F"/>
          <w:sz w:val="21"/>
          <w:szCs w:val="21"/>
        </w:rPr>
        <w:t xml:space="preserve">Blackhole General Rule → Stage → Feature signature (locked mapping)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500"/>
      </w:tblGrid>
      <w:tr>
        <w:trPr>
          <w:tblHeader/>
        </w:trPr>
        <w:tc>
          <w:tcPr>
            <w:tcW w:type="dxa" w:w="3600"/>
            <w:shd w:fill="B3261E" w:val="clear"/>
            <w:tcMar>
              <w:top w:type="dxa" w:w="80"/>
              <w:left w:type="dxa" w:w="100"/>
              <w:bottom w:type="dxa" w:w="80"/>
              <w:right w:type="dxa" w:w="100"/>
            </w:tcMar>
          </w:tcPr>
          <w:p>
            <w:r>
              <w:rPr>
                <w:b/>
                <w:bCs/>
                <w:color w:val="FFFFFF"/>
                <w:sz w:val="19"/>
                <w:szCs w:val="19"/>
              </w:rPr>
              <w:t xml:space="preserve">Rule (from paper)</w:t>
            </w:r>
          </w:p>
        </w:tc>
        <w:tc>
          <w:tcPr>
            <w:tcW w:type="dxa" w:w="1400"/>
            <w:shd w:fill="B3261E" w:val="clear"/>
            <w:tcMar>
              <w:top w:type="dxa" w:w="80"/>
              <w:left w:type="dxa" w:w="100"/>
              <w:bottom w:type="dxa" w:w="80"/>
              <w:right w:type="dxa" w:w="100"/>
            </w:tcMar>
          </w:tcPr>
          <w:p>
            <w:r>
              <w:rPr>
                <w:b/>
                <w:bCs/>
                <w:color w:val="FFFFFF"/>
                <w:sz w:val="19"/>
                <w:szCs w:val="19"/>
              </w:rPr>
              <w:t xml:space="preserve">Stage</w:t>
            </w:r>
          </w:p>
        </w:tc>
        <w:tc>
          <w:tcPr>
            <w:tcW w:type="dxa" w:w="4500"/>
            <w:shd w:fill="B3261E" w:val="clear"/>
            <w:tcMar>
              <w:top w:type="dxa" w:w="80"/>
              <w:left w:type="dxa" w:w="100"/>
              <w:bottom w:type="dxa" w:w="80"/>
              <w:right w:type="dxa" w:w="100"/>
            </w:tcMar>
          </w:tcPr>
          <w:p>
            <w:r>
              <w:rPr>
                <w:b/>
                <w:bCs/>
                <w:color w:val="FFFFFF"/>
                <w:sz w:val="19"/>
                <w:szCs w:val="19"/>
              </w:rPr>
              <w:t xml:space="preserve">Primary feature signature</w:t>
            </w:r>
          </w:p>
        </w:tc>
      </w:tr>
      <w:tr>
        <w:tc>
          <w:tcPr>
            <w:tcW w:type="dxa" w:w="3600"/>
            <w:tcMar>
              <w:top w:type="dxa" w:w="80"/>
              <w:left w:type="dxa" w:w="100"/>
              <w:bottom w:type="dxa" w:w="80"/>
              <w:right w:type="dxa" w:w="100"/>
            </w:tcMar>
          </w:tcPr>
          <w:p>
            <w:r>
              <w:rPr>
                <w:b w:val="false"/>
                <w:bCs w:val="false"/>
                <w:color w:val="333333"/>
                <w:sz w:val="19"/>
                <w:szCs w:val="19"/>
              </w:rPr>
              <w:t xml:space="preserve">1. Route Extraction</w:t>
            </w:r>
          </w:p>
        </w:tc>
        <w:tc>
          <w:tcPr>
            <w:tcW w:type="dxa" w:w="1400"/>
            <w:tcMar>
              <w:top w:type="dxa" w:w="80"/>
              <w:left w:type="dxa" w:w="100"/>
              <w:bottom w:type="dxa" w:w="80"/>
              <w:right w:type="dxa" w:w="100"/>
            </w:tcMar>
          </w:tcPr>
          <w:p>
            <w:r>
              <w:rPr>
                <w:b w:val="false"/>
                <w:bCs w:val="false"/>
                <w:color w:val="333333"/>
                <w:sz w:val="19"/>
                <w:szCs w:val="19"/>
              </w:rPr>
              <w:t xml:space="preserve">S1</w:t>
            </w:r>
          </w:p>
        </w:tc>
        <w:tc>
          <w:tcPr>
            <w:tcW w:type="dxa" w:w="4500"/>
            <w:tcMar>
              <w:top w:type="dxa" w:w="80"/>
              <w:left w:type="dxa" w:w="100"/>
              <w:bottom w:type="dxa" w:w="80"/>
              <w:right w:type="dxa" w:w="100"/>
            </w:tcMar>
          </w:tcPr>
          <w:p>
            <w:r>
              <w:rPr>
                <w:b w:val="false"/>
                <w:bCs w:val="false"/>
                <w:color w:val="333333"/>
                <w:sz w:val="19"/>
                <w:szCs w:val="19"/>
              </w:rPr>
              <w:t xml:space="preserve">rreq_rrep_rate ↑, Temporal Gradient spike, edge-weight into GBH begins rising</w:t>
            </w:r>
          </w:p>
        </w:tc>
      </w:tr>
      <w:tr>
        <w:tc>
          <w:tcPr>
            <w:tcW w:type="dxa" w:w="3600"/>
            <w:shd w:fill="F7F7F7" w:val="clear"/>
            <w:tcMar>
              <w:top w:type="dxa" w:w="80"/>
              <w:left w:type="dxa" w:w="100"/>
              <w:bottom w:type="dxa" w:w="80"/>
              <w:right w:type="dxa" w:w="100"/>
            </w:tcMar>
          </w:tcPr>
          <w:p>
            <w:r>
              <w:rPr>
                <w:b w:val="false"/>
                <w:bCs w:val="false"/>
                <w:color w:val="333333"/>
                <w:sz w:val="19"/>
                <w:szCs w:val="19"/>
              </w:rPr>
              <w:t xml:space="preserve">4. Artificial routing dominance</w:t>
            </w:r>
          </w:p>
        </w:tc>
        <w:tc>
          <w:tcPr>
            <w:tcW w:type="dxa" w:w="1400"/>
            <w:shd w:fill="F7F7F7" w:val="clear"/>
            <w:tcMar>
              <w:top w:type="dxa" w:w="80"/>
              <w:left w:type="dxa" w:w="100"/>
              <w:bottom w:type="dxa" w:w="80"/>
              <w:right w:type="dxa" w:w="100"/>
            </w:tcMar>
          </w:tcPr>
          <w:p>
            <w:r>
              <w:rPr>
                <w:b w:val="false"/>
                <w:bCs w:val="false"/>
                <w:color w:val="333333"/>
                <w:sz w:val="19"/>
                <w:szCs w:val="19"/>
              </w:rPr>
              <w:t xml:space="preserve">S2</w:t>
            </w:r>
          </w:p>
        </w:tc>
        <w:tc>
          <w:tcPr>
            <w:tcW w:type="dxa" w:w="4500"/>
            <w:shd w:fill="F7F7F7" w:val="clear"/>
            <w:tcMar>
              <w:top w:type="dxa" w:w="80"/>
              <w:left w:type="dxa" w:w="100"/>
              <w:bottom w:type="dxa" w:w="80"/>
              <w:right w:type="dxa" w:w="100"/>
            </w:tcMar>
          </w:tcPr>
          <w:p>
            <w:r>
              <w:rPr>
                <w:b w:val="false"/>
                <w:bCs w:val="false"/>
                <w:color w:val="333333"/>
                <w:sz w:val="19"/>
                <w:szCs w:val="19"/>
              </w:rPr>
              <w:t xml:space="preserve">Entropy ↓ sharply at GBH-adjacent node, Spatial Traffic Divergence ↑, path_ratio skews to P2, one edge-weight dominates</w:t>
            </w:r>
          </w:p>
        </w:tc>
      </w:tr>
      <w:tr>
        <w:tc>
          <w:tcPr>
            <w:tcW w:type="dxa" w:w="3600"/>
            <w:tcMar>
              <w:top w:type="dxa" w:w="80"/>
              <w:left w:type="dxa" w:w="100"/>
              <w:bottom w:type="dxa" w:w="80"/>
              <w:right w:type="dxa" w:w="100"/>
            </w:tcMar>
          </w:tcPr>
          <w:p>
            <w:r>
              <w:rPr>
                <w:b w:val="false"/>
                <w:bCs w:val="false"/>
                <w:color w:val="333333"/>
                <w:sz w:val="19"/>
                <w:szCs w:val="19"/>
              </w:rPr>
              <w:t xml:space="preserve">2. Packet absorption + 3. Broken propagation</w:t>
            </w:r>
          </w:p>
        </w:tc>
        <w:tc>
          <w:tcPr>
            <w:tcW w:type="dxa" w:w="1400"/>
            <w:tcMar>
              <w:top w:type="dxa" w:w="80"/>
              <w:left w:type="dxa" w:w="100"/>
              <w:bottom w:type="dxa" w:w="80"/>
              <w:right w:type="dxa" w:w="100"/>
            </w:tcMar>
          </w:tcPr>
          <w:p>
            <w:r>
              <w:rPr>
                <w:b w:val="false"/>
                <w:bCs w:val="false"/>
                <w:color w:val="333333"/>
                <w:sz w:val="19"/>
                <w:szCs w:val="19"/>
              </w:rPr>
              <w:t xml:space="preserve">S3</w:t>
            </w:r>
          </w:p>
        </w:tc>
        <w:tc>
          <w:tcPr>
            <w:tcW w:type="dxa" w:w="4500"/>
            <w:tcMar>
              <w:top w:type="dxa" w:w="80"/>
              <w:left w:type="dxa" w:w="100"/>
              <w:bottom w:type="dxa" w:w="80"/>
              <w:right w:type="dxa" w:w="100"/>
            </w:tcMar>
          </w:tcPr>
          <w:p>
            <w:r>
              <w:rPr>
                <w:b w:val="false"/>
                <w:bCs w:val="false"/>
                <w:color w:val="333333"/>
                <w:sz w:val="19"/>
                <w:szCs w:val="19"/>
              </w:rPr>
              <w:t xml:space="preserve">QDR → 0, Correlation Coefficient → 0, edge-weight OUT of GBH ≈ 0 while edge-weight IN stays high</w:t>
            </w:r>
          </w:p>
        </w:tc>
      </w:tr>
    </w:tbl>
    <w:p>
      <w:pPr>
        <w:pStyle w:val="Heading1"/>
        <w:pBdr>
          <w:bottom w:val="single" w:color="B3261E" w:sz="12" w:space="4"/>
        </w:pBdr>
        <w:spacing w:after="200" w:before="400"/>
      </w:pPr>
      <w:r>
        <w:rPr>
          <w:b/>
          <w:bCs/>
          <w:color w:val="B3261E"/>
          <w:sz w:val="30"/>
          <w:szCs w:val="30"/>
        </w:rPr>
        <w:t xml:space="preserve">3. Feature Set (Phase 1, native — not generic IDS features)</w:t>
      </w:r>
    </w:p>
    <w:p>
      <w:pPr>
        <w:spacing w:after="120"/>
      </w:pPr>
      <w:r>
        <w:rPr>
          <w:sz w:val="21"/>
          <w:szCs w:val="21"/>
        </w:rPr>
        <w:t xml:space="preserve">These 10 raw features are already implemented in feature_extractor.py. Generic IDS features (dst_port, syn_count, is_ssh_port, etc. from the earlier IntruSex box diagram) are NOT used — they belong to a TCP/IP flow world, not this AODV-style/SDN routing world.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6000"/>
      </w:tblGrid>
      <w:tr>
        <w:trPr>
          <w:tblHeader/>
        </w:trPr>
        <w:tc>
          <w:tcPr>
            <w:tcW w:type="dxa" w:w="500"/>
            <w:shd w:fill="B3261E" w:val="clear"/>
            <w:tcMar>
              <w:top w:type="dxa" w:w="80"/>
              <w:left w:type="dxa" w:w="100"/>
              <w:bottom w:type="dxa" w:w="80"/>
              <w:right w:type="dxa" w:w="100"/>
            </w:tcMar>
          </w:tcPr>
          <w:p>
            <w:r>
              <w:rPr>
                <w:b/>
                <w:bCs/>
                <w:color w:val="FFFFFF"/>
                <w:sz w:val="19"/>
                <w:szCs w:val="19"/>
              </w:rPr>
              <w:t xml:space="preserve">#</w:t>
            </w:r>
          </w:p>
        </w:tc>
        <w:tc>
          <w:tcPr>
            <w:tcW w:type="dxa" w:w="3000"/>
            <w:shd w:fill="B3261E" w:val="clear"/>
            <w:tcMar>
              <w:top w:type="dxa" w:w="80"/>
              <w:left w:type="dxa" w:w="100"/>
              <w:bottom w:type="dxa" w:w="80"/>
              <w:right w:type="dxa" w:w="100"/>
            </w:tcMar>
          </w:tcPr>
          <w:p>
            <w:r>
              <w:rPr>
                <w:b/>
                <w:bCs/>
                <w:color w:val="FFFFFF"/>
                <w:sz w:val="19"/>
                <w:szCs w:val="19"/>
              </w:rPr>
              <w:t xml:space="preserve">Feature</w:t>
            </w:r>
          </w:p>
        </w:tc>
        <w:tc>
          <w:tcPr>
            <w:tcW w:type="dxa" w:w="6000"/>
            <w:shd w:fill="B3261E" w:val="clear"/>
            <w:tcMar>
              <w:top w:type="dxa" w:w="80"/>
              <w:left w:type="dxa" w:w="100"/>
              <w:bottom w:type="dxa" w:w="80"/>
              <w:right w:type="dxa" w:w="100"/>
            </w:tcMar>
          </w:tcPr>
          <w:p>
            <w:r>
              <w:rPr>
                <w:b/>
                <w:bCs/>
                <w:color w:val="FFFFFF"/>
                <w:sz w:val="19"/>
                <w:szCs w:val="19"/>
              </w:rPr>
              <w:t xml:space="preserve">Blackhole signal it captures</w:t>
            </w:r>
          </w:p>
        </w:tc>
      </w:tr>
      <w:tr>
        <w:tc>
          <w:tcPr>
            <w:tcW w:type="dxa" w:w="500"/>
            <w:tcMar>
              <w:top w:type="dxa" w:w="80"/>
              <w:left w:type="dxa" w:w="100"/>
              <w:bottom w:type="dxa" w:w="80"/>
              <w:right w:type="dxa" w:w="100"/>
            </w:tcMar>
          </w:tcPr>
          <w:p>
            <w:r>
              <w:rPr>
                <w:b w:val="false"/>
                <w:bCs w:val="false"/>
                <w:color w:val="333333"/>
                <w:sz w:val="19"/>
                <w:szCs w:val="19"/>
              </w:rPr>
              <w:t xml:space="preserve">1</w:t>
            </w:r>
          </w:p>
        </w:tc>
        <w:tc>
          <w:tcPr>
            <w:tcW w:type="dxa" w:w="3000"/>
            <w:tcMar>
              <w:top w:type="dxa" w:w="80"/>
              <w:left w:type="dxa" w:w="100"/>
              <w:bottom w:type="dxa" w:w="80"/>
              <w:right w:type="dxa" w:w="100"/>
            </w:tcMar>
          </w:tcPr>
          <w:p>
            <w:r>
              <w:rPr>
                <w:b w:val="false"/>
                <w:bCs w:val="false"/>
                <w:color w:val="333333"/>
                <w:sz w:val="19"/>
                <w:szCs w:val="19"/>
              </w:rPr>
              <w:t xml:space="preserve">RREQ/RREP rate</w:t>
            </w:r>
          </w:p>
        </w:tc>
        <w:tc>
          <w:tcPr>
            <w:tcW w:type="dxa" w:w="6000"/>
            <w:tcMar>
              <w:top w:type="dxa" w:w="80"/>
              <w:left w:type="dxa" w:w="100"/>
              <w:bottom w:type="dxa" w:w="80"/>
              <w:right w:type="dxa" w:w="100"/>
            </w:tcMar>
          </w:tcPr>
          <w:p>
            <w:r>
              <w:rPr>
                <w:b w:val="false"/>
                <w:bCs w:val="false"/>
                <w:color w:val="333333"/>
                <w:sz w:val="19"/>
                <w:szCs w:val="19"/>
              </w:rPr>
              <w:t xml:space="preserve">PACKET_IN vs FLOW_MOD ratio — route re-discovery pressure</w:t>
            </w:r>
          </w:p>
        </w:tc>
      </w:tr>
      <w:tr>
        <w:tc>
          <w:tcPr>
            <w:tcW w:type="dxa" w:w="500"/>
            <w:shd w:fill="F7F7F7" w:val="clear"/>
            <w:tcMar>
              <w:top w:type="dxa" w:w="80"/>
              <w:left w:type="dxa" w:w="100"/>
              <w:bottom w:type="dxa" w:w="80"/>
              <w:right w:type="dxa" w:w="100"/>
            </w:tcMar>
          </w:tcPr>
          <w:p>
            <w:r>
              <w:rPr>
                <w:b w:val="false"/>
                <w:bCs w:val="false"/>
                <w:color w:val="333333"/>
                <w:sz w:val="19"/>
                <w:szCs w:val="19"/>
              </w:rPr>
              <w:t xml:space="preserve">2</w:t>
            </w:r>
          </w:p>
        </w:tc>
        <w:tc>
          <w:tcPr>
            <w:tcW w:type="dxa" w:w="3000"/>
            <w:shd w:fill="F7F7F7" w:val="clear"/>
            <w:tcMar>
              <w:top w:type="dxa" w:w="80"/>
              <w:left w:type="dxa" w:w="100"/>
              <w:bottom w:type="dxa" w:w="80"/>
              <w:right w:type="dxa" w:w="100"/>
            </w:tcMar>
          </w:tcPr>
          <w:p>
            <w:r>
              <w:rPr>
                <w:b w:val="false"/>
                <w:bCs w:val="false"/>
                <w:color w:val="333333"/>
                <w:sz w:val="19"/>
                <w:szCs w:val="19"/>
              </w:rPr>
              <w:t xml:space="preserve">Flow Imbalance Integral (FII)</w:t>
            </w:r>
          </w:p>
        </w:tc>
        <w:tc>
          <w:tcPr>
            <w:tcW w:type="dxa" w:w="6000"/>
            <w:shd w:fill="F7F7F7" w:val="clear"/>
            <w:tcMar>
              <w:top w:type="dxa" w:w="80"/>
              <w:left w:type="dxa" w:w="100"/>
              <w:bottom w:type="dxa" w:w="80"/>
              <w:right w:type="dxa" w:w="100"/>
            </w:tcMar>
          </w:tcPr>
          <w:p>
            <w:r>
              <w:rPr>
                <w:b w:val="false"/>
                <w:bCs w:val="false"/>
                <w:color w:val="333333"/>
                <w:sz w:val="19"/>
                <w:szCs w:val="19"/>
              </w:rPr>
              <w:t xml:space="preserve">Persistent dropping behaviour, cumulative over time</w:t>
            </w:r>
          </w:p>
        </w:tc>
      </w:tr>
      <w:tr>
        <w:tc>
          <w:tcPr>
            <w:tcW w:type="dxa" w:w="500"/>
            <w:tcMar>
              <w:top w:type="dxa" w:w="80"/>
              <w:left w:type="dxa" w:w="100"/>
              <w:bottom w:type="dxa" w:w="80"/>
              <w:right w:type="dxa" w:w="100"/>
            </w:tcMar>
          </w:tcPr>
          <w:p>
            <w:r>
              <w:rPr>
                <w:b w:val="false"/>
                <w:bCs w:val="false"/>
                <w:color w:val="333333"/>
                <w:sz w:val="19"/>
                <w:szCs w:val="19"/>
              </w:rPr>
              <w:t xml:space="preserve">3</w:t>
            </w:r>
          </w:p>
        </w:tc>
        <w:tc>
          <w:tcPr>
            <w:tcW w:type="dxa" w:w="3000"/>
            <w:tcMar>
              <w:top w:type="dxa" w:w="80"/>
              <w:left w:type="dxa" w:w="100"/>
              <w:bottom w:type="dxa" w:w="80"/>
              <w:right w:type="dxa" w:w="100"/>
            </w:tcMar>
          </w:tcPr>
          <w:p>
            <w:r>
              <w:rPr>
                <w:b w:val="false"/>
                <w:bCs w:val="false"/>
                <w:color w:val="333333"/>
                <w:sz w:val="19"/>
                <w:szCs w:val="19"/>
              </w:rPr>
              <w:t xml:space="preserve">Temporal Gradient (TG)</w:t>
            </w:r>
          </w:p>
        </w:tc>
        <w:tc>
          <w:tcPr>
            <w:tcW w:type="dxa" w:w="6000"/>
            <w:tcMar>
              <w:top w:type="dxa" w:w="80"/>
              <w:left w:type="dxa" w:w="100"/>
              <w:bottom w:type="dxa" w:w="80"/>
              <w:right w:type="dxa" w:w="100"/>
            </w:tcMar>
          </w:tcPr>
          <w:p>
            <w:r>
              <w:rPr>
                <w:b w:val="false"/>
                <w:bCs w:val="false"/>
                <w:color w:val="333333"/>
                <w:sz w:val="19"/>
                <w:szCs w:val="19"/>
              </w:rPr>
              <w:t xml:space="preserve">Sudden traffic-rate spikes (probe bursts)</w:t>
            </w:r>
          </w:p>
        </w:tc>
      </w:tr>
      <w:tr>
        <w:tc>
          <w:tcPr>
            <w:tcW w:type="dxa" w:w="500"/>
            <w:shd w:fill="F7F7F7" w:val="clear"/>
            <w:tcMar>
              <w:top w:type="dxa" w:w="80"/>
              <w:left w:type="dxa" w:w="100"/>
              <w:bottom w:type="dxa" w:w="80"/>
              <w:right w:type="dxa" w:w="100"/>
            </w:tcMar>
          </w:tcPr>
          <w:p>
            <w:r>
              <w:rPr>
                <w:b w:val="false"/>
                <w:bCs w:val="false"/>
                <w:color w:val="333333"/>
                <w:sz w:val="19"/>
                <w:szCs w:val="19"/>
              </w:rPr>
              <w:t xml:space="preserve">4</w:t>
            </w:r>
          </w:p>
        </w:tc>
        <w:tc>
          <w:tcPr>
            <w:tcW w:type="dxa" w:w="3000"/>
            <w:shd w:fill="F7F7F7" w:val="clear"/>
            <w:tcMar>
              <w:top w:type="dxa" w:w="80"/>
              <w:left w:type="dxa" w:w="100"/>
              <w:bottom w:type="dxa" w:w="80"/>
              <w:right w:type="dxa" w:w="100"/>
            </w:tcMar>
          </w:tcPr>
          <w:p>
            <w:r>
              <w:rPr>
                <w:b w:val="false"/>
                <w:bCs w:val="false"/>
                <w:color w:val="333333"/>
                <w:sz w:val="19"/>
                <w:szCs w:val="19"/>
              </w:rPr>
              <w:t xml:space="preserve">Correlation Coefficient (CC)</w:t>
            </w:r>
          </w:p>
        </w:tc>
        <w:tc>
          <w:tcPr>
            <w:tcW w:type="dxa" w:w="6000"/>
            <w:shd w:fill="F7F7F7" w:val="clear"/>
            <w:tcMar>
              <w:top w:type="dxa" w:w="80"/>
              <w:left w:type="dxa" w:w="100"/>
              <w:bottom w:type="dxa" w:w="80"/>
              <w:right w:type="dxa" w:w="100"/>
            </w:tcMar>
          </w:tcPr>
          <w:p>
            <w:r>
              <w:rPr>
                <w:b w:val="false"/>
                <w:bCs w:val="false"/>
                <w:color w:val="333333"/>
                <w:sz w:val="19"/>
                <w:szCs w:val="19"/>
              </w:rPr>
              <w:t xml:space="preserve">Received vs forwarded correlation — collapses toward 0 at GBH</w:t>
            </w:r>
          </w:p>
        </w:tc>
      </w:tr>
      <w:tr>
        <w:tc>
          <w:tcPr>
            <w:tcW w:type="dxa" w:w="500"/>
            <w:tcMar>
              <w:top w:type="dxa" w:w="80"/>
              <w:left w:type="dxa" w:w="100"/>
              <w:bottom w:type="dxa" w:w="80"/>
              <w:right w:type="dxa" w:w="100"/>
            </w:tcMar>
          </w:tcPr>
          <w:p>
            <w:r>
              <w:rPr>
                <w:b w:val="false"/>
                <w:bCs w:val="false"/>
                <w:color w:val="333333"/>
                <w:sz w:val="19"/>
                <w:szCs w:val="19"/>
              </w:rPr>
              <w:t xml:space="preserve">5</w:t>
            </w:r>
          </w:p>
        </w:tc>
        <w:tc>
          <w:tcPr>
            <w:tcW w:type="dxa" w:w="3000"/>
            <w:tcMar>
              <w:top w:type="dxa" w:w="80"/>
              <w:left w:type="dxa" w:w="100"/>
              <w:bottom w:type="dxa" w:w="80"/>
              <w:right w:type="dxa" w:w="100"/>
            </w:tcMar>
          </w:tcPr>
          <w:p>
            <w:r>
              <w:rPr>
                <w:b w:val="false"/>
                <w:bCs w:val="false"/>
                <w:color w:val="333333"/>
                <w:sz w:val="19"/>
                <w:szCs w:val="19"/>
              </w:rPr>
              <w:t xml:space="preserve">Cumulative Drop Acceleration (CDA)</w:t>
            </w:r>
          </w:p>
        </w:tc>
        <w:tc>
          <w:tcPr>
            <w:tcW w:type="dxa" w:w="6000"/>
            <w:tcMar>
              <w:top w:type="dxa" w:w="80"/>
              <w:left w:type="dxa" w:w="100"/>
              <w:bottom w:type="dxa" w:w="80"/>
              <w:right w:type="dxa" w:w="100"/>
            </w:tcMar>
          </w:tcPr>
          <w:p>
            <w:r>
              <w:rPr>
                <w:b w:val="false"/>
                <w:bCs w:val="false"/>
                <w:color w:val="333333"/>
                <w:sz w:val="19"/>
                <w:szCs w:val="19"/>
              </w:rPr>
              <w:t xml:space="preserve">2nd derivative of drop rate — detects attack onset</w:t>
            </w:r>
          </w:p>
        </w:tc>
      </w:tr>
      <w:tr>
        <w:tc>
          <w:tcPr>
            <w:tcW w:type="dxa" w:w="500"/>
            <w:shd w:fill="F7F7F7" w:val="clear"/>
            <w:tcMar>
              <w:top w:type="dxa" w:w="80"/>
              <w:left w:type="dxa" w:w="100"/>
              <w:bottom w:type="dxa" w:w="80"/>
              <w:right w:type="dxa" w:w="100"/>
            </w:tcMar>
          </w:tcPr>
          <w:p>
            <w:r>
              <w:rPr>
                <w:b w:val="false"/>
                <w:bCs w:val="false"/>
                <w:color w:val="333333"/>
                <w:sz w:val="19"/>
                <w:szCs w:val="19"/>
              </w:rPr>
              <w:t xml:space="preserve">6</w:t>
            </w:r>
          </w:p>
        </w:tc>
        <w:tc>
          <w:tcPr>
            <w:tcW w:type="dxa" w:w="3000"/>
            <w:shd w:fill="F7F7F7" w:val="clear"/>
            <w:tcMar>
              <w:top w:type="dxa" w:w="80"/>
              <w:left w:type="dxa" w:w="100"/>
              <w:bottom w:type="dxa" w:w="80"/>
              <w:right w:type="dxa" w:w="100"/>
            </w:tcMar>
          </w:tcPr>
          <w:p>
            <w:r>
              <w:rPr>
                <w:b w:val="false"/>
                <w:bCs w:val="false"/>
                <w:color w:val="333333"/>
                <w:sz w:val="19"/>
                <w:szCs w:val="19"/>
              </w:rPr>
              <w:t xml:space="preserve">Queue Dissipation Ratio (QDR)</w:t>
            </w:r>
          </w:p>
        </w:tc>
        <w:tc>
          <w:tcPr>
            <w:tcW w:type="dxa" w:w="6000"/>
            <w:shd w:fill="F7F7F7" w:val="clear"/>
            <w:tcMar>
              <w:top w:type="dxa" w:w="80"/>
              <w:left w:type="dxa" w:w="100"/>
              <w:bottom w:type="dxa" w:w="80"/>
              <w:right w:type="dxa" w:w="100"/>
            </w:tcMar>
          </w:tcPr>
          <w:p>
            <w:r>
              <w:rPr>
                <w:b w:val="false"/>
                <w:bCs w:val="false"/>
                <w:color w:val="333333"/>
                <w:sz w:val="19"/>
                <w:szCs w:val="19"/>
              </w:rPr>
              <w:t xml:space="preserve">Departed/arrived ratio — →0 means packets never leave</w:t>
            </w:r>
          </w:p>
        </w:tc>
      </w:tr>
      <w:tr>
        <w:tc>
          <w:tcPr>
            <w:tcW w:type="dxa" w:w="500"/>
            <w:tcMar>
              <w:top w:type="dxa" w:w="80"/>
              <w:left w:type="dxa" w:w="100"/>
              <w:bottom w:type="dxa" w:w="80"/>
              <w:right w:type="dxa" w:w="100"/>
            </w:tcMar>
          </w:tcPr>
          <w:p>
            <w:r>
              <w:rPr>
                <w:b w:val="false"/>
                <w:bCs w:val="false"/>
                <w:color w:val="333333"/>
                <w:sz w:val="19"/>
                <w:szCs w:val="19"/>
              </w:rPr>
              <w:t xml:space="preserve">7</w:t>
            </w:r>
          </w:p>
        </w:tc>
        <w:tc>
          <w:tcPr>
            <w:tcW w:type="dxa" w:w="3000"/>
            <w:tcMar>
              <w:top w:type="dxa" w:w="80"/>
              <w:left w:type="dxa" w:w="100"/>
              <w:bottom w:type="dxa" w:w="80"/>
              <w:right w:type="dxa" w:w="100"/>
            </w:tcMar>
          </w:tcPr>
          <w:p>
            <w:r>
              <w:rPr>
                <w:b w:val="false"/>
                <w:bCs w:val="false"/>
                <w:color w:val="333333"/>
                <w:sz w:val="19"/>
                <w:szCs w:val="19"/>
              </w:rPr>
              <w:t xml:space="preserve">Traffic Distribution Entropy (H)</w:t>
            </w:r>
          </w:p>
        </w:tc>
        <w:tc>
          <w:tcPr>
            <w:tcW w:type="dxa" w:w="6000"/>
            <w:tcMar>
              <w:top w:type="dxa" w:w="80"/>
              <w:left w:type="dxa" w:w="100"/>
              <w:bottom w:type="dxa" w:w="80"/>
              <w:right w:type="dxa" w:w="100"/>
            </w:tcMar>
          </w:tcPr>
          <w:p>
            <w:r>
              <w:rPr>
                <w:b w:val="false"/>
                <w:bCs w:val="false"/>
                <w:color w:val="333333"/>
                <w:sz w:val="19"/>
                <w:szCs w:val="19"/>
              </w:rPr>
              <w:t xml:space="preserve">Routing randomness — collapses when one node dominates</w:t>
            </w:r>
          </w:p>
        </w:tc>
      </w:tr>
      <w:tr>
        <w:tc>
          <w:tcPr>
            <w:tcW w:type="dxa" w:w="500"/>
            <w:shd w:fill="F7F7F7" w:val="clear"/>
            <w:tcMar>
              <w:top w:type="dxa" w:w="80"/>
              <w:left w:type="dxa" w:w="100"/>
              <w:bottom w:type="dxa" w:w="80"/>
              <w:right w:type="dxa" w:w="100"/>
            </w:tcMar>
          </w:tcPr>
          <w:p>
            <w:r>
              <w:rPr>
                <w:b w:val="false"/>
                <w:bCs w:val="false"/>
                <w:color w:val="333333"/>
                <w:sz w:val="19"/>
                <w:szCs w:val="19"/>
              </w:rPr>
              <w:t xml:space="preserve">8</w:t>
            </w:r>
          </w:p>
        </w:tc>
        <w:tc>
          <w:tcPr>
            <w:tcW w:type="dxa" w:w="3000"/>
            <w:shd w:fill="F7F7F7" w:val="clear"/>
            <w:tcMar>
              <w:top w:type="dxa" w:w="80"/>
              <w:left w:type="dxa" w:w="100"/>
              <w:bottom w:type="dxa" w:w="80"/>
              <w:right w:type="dxa" w:w="100"/>
            </w:tcMar>
          </w:tcPr>
          <w:p>
            <w:r>
              <w:rPr>
                <w:b w:val="false"/>
                <w:bCs w:val="false"/>
                <w:color w:val="333333"/>
                <w:sz w:val="19"/>
                <w:szCs w:val="19"/>
              </w:rPr>
              <w:t xml:space="preserve">Temporal Traffic Skewness</w:t>
            </w:r>
          </w:p>
        </w:tc>
        <w:tc>
          <w:tcPr>
            <w:tcW w:type="dxa" w:w="6000"/>
            <w:shd w:fill="F7F7F7" w:val="clear"/>
            <w:tcMar>
              <w:top w:type="dxa" w:w="80"/>
              <w:left w:type="dxa" w:w="100"/>
              <w:bottom w:type="dxa" w:w="80"/>
              <w:right w:type="dxa" w:w="100"/>
            </w:tcMar>
          </w:tcPr>
          <w:p>
            <w:r>
              <w:rPr>
                <w:b w:val="false"/>
                <w:bCs w:val="false"/>
                <w:color w:val="333333"/>
                <w:sz w:val="19"/>
                <w:szCs w:val="19"/>
              </w:rPr>
              <w:t xml:space="preserve">Asymmetric traffic distribution</w:t>
            </w:r>
          </w:p>
        </w:tc>
      </w:tr>
      <w:tr>
        <w:tc>
          <w:tcPr>
            <w:tcW w:type="dxa" w:w="500"/>
            <w:tcMar>
              <w:top w:type="dxa" w:w="80"/>
              <w:left w:type="dxa" w:w="100"/>
              <w:bottom w:type="dxa" w:w="80"/>
              <w:right w:type="dxa" w:w="100"/>
            </w:tcMar>
          </w:tcPr>
          <w:p>
            <w:r>
              <w:rPr>
                <w:b w:val="false"/>
                <w:bCs w:val="false"/>
                <w:color w:val="333333"/>
                <w:sz w:val="19"/>
                <w:szCs w:val="19"/>
              </w:rPr>
              <w:t xml:space="preserve">9</w:t>
            </w:r>
          </w:p>
        </w:tc>
        <w:tc>
          <w:tcPr>
            <w:tcW w:type="dxa" w:w="3000"/>
            <w:tcMar>
              <w:top w:type="dxa" w:w="80"/>
              <w:left w:type="dxa" w:w="100"/>
              <w:bottom w:type="dxa" w:w="80"/>
              <w:right w:type="dxa" w:w="100"/>
            </w:tcMar>
          </w:tcPr>
          <w:p>
            <w:r>
              <w:rPr>
                <w:b w:val="false"/>
                <w:bCs w:val="false"/>
                <w:color w:val="333333"/>
                <w:sz w:val="19"/>
                <w:szCs w:val="19"/>
              </w:rPr>
              <w:t xml:space="preserve">Kurtosis of Packet Flow</w:t>
            </w:r>
          </w:p>
        </w:tc>
        <w:tc>
          <w:tcPr>
            <w:tcW w:type="dxa" w:w="6000"/>
            <w:tcMar>
              <w:top w:type="dxa" w:w="80"/>
              <w:left w:type="dxa" w:w="100"/>
              <w:bottom w:type="dxa" w:w="80"/>
              <w:right w:type="dxa" w:w="100"/>
            </w:tcMar>
          </w:tcPr>
          <w:p>
            <w:r>
              <w:rPr>
                <w:b w:val="false"/>
                <w:bCs w:val="false"/>
                <w:color w:val="333333"/>
                <w:sz w:val="19"/>
                <w:szCs w:val="19"/>
              </w:rPr>
              <w:t xml:space="preserve">Bursts / spikes in packet-rate series</w:t>
            </w:r>
          </w:p>
        </w:tc>
      </w:tr>
      <w:tr>
        <w:tc>
          <w:tcPr>
            <w:tcW w:type="dxa" w:w="500"/>
            <w:shd w:fill="F7F7F7" w:val="clear"/>
            <w:tcMar>
              <w:top w:type="dxa" w:w="80"/>
              <w:left w:type="dxa" w:w="100"/>
              <w:bottom w:type="dxa" w:w="80"/>
              <w:right w:type="dxa" w:w="100"/>
            </w:tcMar>
          </w:tcPr>
          <w:p>
            <w:r>
              <w:rPr>
                <w:b w:val="false"/>
                <w:bCs w:val="false"/>
                <w:color w:val="333333"/>
                <w:sz w:val="19"/>
                <w:szCs w:val="19"/>
              </w:rPr>
              <w:t xml:space="preserve">10</w:t>
            </w:r>
          </w:p>
        </w:tc>
        <w:tc>
          <w:tcPr>
            <w:tcW w:type="dxa" w:w="3000"/>
            <w:shd w:fill="F7F7F7" w:val="clear"/>
            <w:tcMar>
              <w:top w:type="dxa" w:w="80"/>
              <w:left w:type="dxa" w:w="100"/>
              <w:bottom w:type="dxa" w:w="80"/>
              <w:right w:type="dxa" w:w="100"/>
            </w:tcMar>
          </w:tcPr>
          <w:p>
            <w:r>
              <w:rPr>
                <w:b w:val="false"/>
                <w:bCs w:val="false"/>
                <w:color w:val="333333"/>
                <w:sz w:val="19"/>
                <w:szCs w:val="19"/>
              </w:rPr>
              <w:t xml:space="preserve">Spatial Traffic Divergence (STD / KL)</w:t>
            </w:r>
          </w:p>
        </w:tc>
        <w:tc>
          <w:tcPr>
            <w:tcW w:type="dxa" w:w="6000"/>
            <w:shd w:fill="F7F7F7" w:val="clear"/>
            <w:tcMar>
              <w:top w:type="dxa" w:w="80"/>
              <w:left w:type="dxa" w:w="100"/>
              <w:bottom w:type="dxa" w:w="80"/>
              <w:right w:type="dxa" w:w="100"/>
            </w:tcMar>
          </w:tcPr>
          <w:p>
            <w:r>
              <w:rPr>
                <w:b w:val="false"/>
                <w:bCs w:val="false"/>
                <w:color w:val="333333"/>
                <w:sz w:val="19"/>
                <w:szCs w:val="19"/>
              </w:rPr>
              <w:t xml:space="preserve">Deviation of actual vs expected per-node traffic split</w:t>
            </w:r>
          </w:p>
        </w:tc>
      </w:tr>
    </w:tbl>
    <w:p>
      <w:pPr>
        <w:spacing w:after="80" w:before="200"/>
      </w:pPr>
      <w:r>
        <w:rPr>
          <w:b/>
          <w:bCs/>
          <w:color w:val="B7791F"/>
          <w:sz w:val="21"/>
          <w:szCs w:val="21"/>
        </w:rPr>
        <w:t xml:space="preserve">New additions closing the gap-analysis (edge &amp; path level)</w:t>
      </w:r>
    </w:p>
    <w:p>
      <w:pPr>
        <w:pStyle w:val="ListParagraph"/>
        <w:numPr>
          <w:ilvl w:val="0"/>
          <w:numId w:val="2"/>
        </w:numPr>
        <w:spacing w:after="60"/>
      </w:pPr>
      <w:r>
        <w:rPr>
          <w:sz w:val="20"/>
          <w:szCs w:val="20"/>
        </w:rPr>
        <w:t xml:space="preserve">Per-edge weights W1–W12 — packet count per specific link (e.g., D→E), not just per-node aggregates.</w:t>
      </w:r>
    </w:p>
    <w:p>
      <w:pPr>
        <w:pStyle w:val="ListParagraph"/>
        <w:numPr>
          <w:ilvl w:val="0"/>
          <w:numId w:val="2"/>
        </w:numPr>
        <w:spacing w:after="60"/>
      </w:pPr>
      <w:r>
        <w:rPr>
          <w:sz w:val="20"/>
          <w:szCs w:val="20"/>
        </w:rPr>
        <w:t xml:space="preserve">path_ratio = P1_total_weight / (P1_total_weight + P2_total_weight) — tracks load-balancing collapse across the two named pathways.</w:t>
      </w:r>
    </w:p>
    <w:p>
      <w:pPr>
        <w:pStyle w:val="Heading1"/>
        <w:pBdr>
          <w:bottom w:val="single" w:color="B3261E" w:sz="12" w:space="4"/>
        </w:pBdr>
        <w:spacing w:after="200" w:before="400"/>
      </w:pPr>
      <w:r>
        <w:rPr>
          <w:b/>
          <w:bCs/>
          <w:color w:val="B3261E"/>
          <w:sz w:val="30"/>
          <w:szCs w:val="30"/>
        </w:rPr>
        <w:t xml:space="preserve">4. Known Issues in Current Phase 1 Code (fix before trusting the dataset)</w:t>
      </w:r>
    </w:p>
    <w:p>
      <w:pPr>
        <w:spacing w:after="80" w:before="200"/>
      </w:pPr>
      <w:r>
        <w:rPr>
          <w:b/>
          <w:bCs/>
          <w:color w:val="B7791F"/>
          <w:sz w:val="21"/>
          <w:szCs w:val="21"/>
        </w:rPr>
        <w:t xml:space="preserve">Bug 1 — estimate_per_node_packets() is fabricated, not measured</w:t>
      </w:r>
    </w:p>
    <w:p>
      <w:pPr>
        <w:spacing w:after="120"/>
      </w:pPr>
      <w:r>
        <w:rPr>
          <w:sz w:val="21"/>
          <w:szCs w:val="21"/>
        </w:rPr>
        <w:t xml:space="preserve">Currently splits forwarded packets uniformly across switches regardless of real behaviour. This makes Feature 7 (entropy) and Feature 10 (STD) structurally incapable of detecting the attack — they'll stay flat across normal and attack samples.</w:t>
      </w:r>
    </w:p>
    <w:p>
      <w:pPr>
        <w:spacing w:after="120"/>
      </w:pPr>
      <w:r>
        <w:rPr>
          <w:sz w:val="21"/>
          <w:szCs w:val="21"/>
        </w:rPr>
        <w:t xml:space="preserve">Fix: poll real per-switch stats from Ryu via OFPPortStatsRequest / EventOFPPortStatsReply, store per-dpid rx/tx counts, expose via a new REST endpoint (e.g. /blackhole/port_stats), and have dataset_collector.py read real numbers instead of the uniform-split placeholder.</w:t>
      </w:r>
    </w:p>
    <w:p>
      <w:pPr>
        <w:spacing w:after="80" w:before="200"/>
      </w:pPr>
      <w:r>
        <w:rPr>
          <w:b/>
          <w:bCs/>
          <w:color w:val="B7791F"/>
          <w:sz w:val="21"/>
          <w:szCs w:val="21"/>
        </w:rPr>
        <w:t xml:space="preserve">Bug 2 — RREQ/RREP rate is a redundant transform of drop rate</w:t>
      </w:r>
    </w:p>
    <w:p>
      <w:pPr>
        <w:spacing w:after="120"/>
      </w:pPr>
      <w:r>
        <w:rPr>
          <w:sz w:val="21"/>
          <w:szCs w:val="21"/>
        </w:rPr>
        <w:t xml:space="preserve">packet_in_approx = forwarded + dropped and flow_mod_approx = forwarded means the ratio simplifies to 1 + drop_rate — not an independent signal, and highly correlated with Features 5 &amp; 6.</w:t>
      </w:r>
    </w:p>
    <w:p>
      <w:pPr>
        <w:spacing w:after="120"/>
      </w:pPr>
      <w:r>
        <w:rPr>
          <w:sz w:val="21"/>
          <w:szCs w:val="21"/>
        </w:rPr>
        <w:t xml:space="preserve">Fix: track independent running counters in the controller — increment packet_in_count inside packet_in(), increment flow_mod_count inside _add_flow() — so the rate reflects real route re-discovery pressure, not a re-derivation of drop rate.</w:t>
      </w:r>
    </w:p>
    <w:p>
      <w:pPr>
        <w:spacing w:after="80" w:before="200"/>
      </w:pPr>
      <w:r>
        <w:rPr>
          <w:b/>
          <w:bCs/>
          <w:color w:val="B7791F"/>
          <w:sz w:val="21"/>
          <w:szCs w:val="21"/>
        </w:rPr>
        <w:t xml:space="preserve">Bug 3 — No per-edge / per-path tracking yet</w:t>
      </w:r>
    </w:p>
    <w:p>
      <w:pPr>
        <w:spacing w:after="120"/>
      </w:pPr>
      <w:r>
        <w:rPr>
          <w:sz w:val="21"/>
          <w:szCs w:val="21"/>
        </w:rPr>
        <w:t xml:space="preserve">Existing code only has per-node stats. Edge weights (W1–W12) and path_ratio (P1 vs P2) need to be added at the Ryu layer (map switch ports to specific links) and threaded through dataset_collector.py's CSV schema.</w:t>
      </w:r>
    </w:p>
    <w:p>
      <w:pPr>
        <w:pStyle w:val="Heading1"/>
        <w:pBdr>
          <w:bottom w:val="single" w:color="B3261E" w:sz="12" w:space="4"/>
        </w:pBdr>
        <w:spacing w:after="200" w:before="400"/>
      </w:pPr>
      <w:r>
        <w:rPr>
          <w:b/>
          <w:bCs/>
          <w:color w:val="B3261E"/>
          <w:sz w:val="30"/>
          <w:szCs w:val="30"/>
        </w:rPr>
        <w:t xml:space="preserve">5. Phase 1 — Revised Data Pipeline</w:t>
      </w:r>
    </w:p>
    <w:p>
      <w:pPr>
        <w:shd w:fill="F2F2F2" w:val="clear"/>
        <w:spacing w:after="100"/>
      </w:pPr>
      <w:r>
        <w:rPr>
          <w:rFonts w:ascii="Consolas" w:cs="Consolas" w:eastAsia="Consolas" w:hAnsi="Consolas"/>
          <w:sz w:val="19"/>
          <w:szCs w:val="19"/>
        </w:rPr>
        <w:t xml:space="preserve">Mininet Topology (9 switches, s8=GBH, edges = W1–W12)</w:t>
      </w:r>
    </w:p>
    <w:p>
      <w:pPr>
        <w:shd w:fill="F2F2F2" w:val="clear"/>
        <w:spacing w:after="100"/>
      </w:pPr>
      <w:r>
        <w:rPr>
          <w:rFonts w:ascii="Consolas" w:cs="Consolas" w:eastAsia="Consolas" w:hAnsi="Consolas"/>
          <w:sz w:val="19"/>
          <w:szCs w:val="19"/>
        </w:rPr>
        <w:t xml:space="preserve">      |</w:t>
      </w:r>
    </w:p>
    <w:p>
      <w:pPr>
        <w:shd w:fill="F2F2F2" w:val="clear"/>
        <w:spacing w:after="100"/>
      </w:pPr>
      <w:r>
        <w:rPr>
          <w:rFonts w:ascii="Consolas" w:cs="Consolas" w:eastAsia="Consolas" w:hAnsi="Consolas"/>
          <w:sz w:val="19"/>
          <w:szCs w:val="19"/>
        </w:rPr>
        <w:t xml:space="preserve">Ryu Controller (ryu_blackhole.py)</w:t>
      </w:r>
    </w:p>
    <w:p>
      <w:pPr>
        <w:shd w:fill="F2F2F2" w:val="clear"/>
        <w:spacing w:after="100"/>
      </w:pPr>
      <w:r>
        <w:rPr>
          <w:rFonts w:ascii="Consolas" w:cs="Consolas" w:eastAsia="Consolas" w:hAnsi="Consolas"/>
          <w:sz w:val="19"/>
          <w:szCs w:val="19"/>
        </w:rPr>
        <w:t xml:space="preserve">  - OpenFlow event hooks (existing)</w:t>
      </w:r>
    </w:p>
    <w:p>
      <w:pPr>
        <w:shd w:fill="F2F2F2" w:val="clear"/>
        <w:spacing w:after="100"/>
      </w:pPr>
      <w:r>
        <w:rPr>
          <w:rFonts w:ascii="Consolas" w:cs="Consolas" w:eastAsia="Consolas" w:hAnsi="Consolas"/>
          <w:sz w:val="19"/>
          <w:szCs w:val="19"/>
        </w:rPr>
        <w:t xml:space="preserve">  - NEW: per-port stats polling -&gt; mapped to specific edges</w:t>
      </w:r>
    </w:p>
    <w:p>
      <w:pPr>
        <w:shd w:fill="F2F2F2" w:val="clear"/>
        <w:spacing w:after="100"/>
      </w:pPr>
      <w:r>
        <w:rPr>
          <w:rFonts w:ascii="Consolas" w:cs="Consolas" w:eastAsia="Consolas" w:hAnsi="Consolas"/>
          <w:sz w:val="19"/>
          <w:szCs w:val="19"/>
        </w:rPr>
        <w:t xml:space="preserve">  - NEW: independent packet_in_count / flow_mod_count counters</w:t>
      </w:r>
    </w:p>
    <w:p>
      <w:pPr>
        <w:shd w:fill="F2F2F2" w:val="clear"/>
        <w:spacing w:after="100"/>
      </w:pPr>
      <w:r>
        <w:rPr>
          <w:rFonts w:ascii="Consolas" w:cs="Consolas" w:eastAsia="Consolas" w:hAnsi="Consolas"/>
          <w:sz w:val="19"/>
          <w:szCs w:val="19"/>
        </w:rPr>
        <w:t xml:space="preserve">  - NEW: path-level aggregation (P1 vs P2 total edge weight)</w:t>
      </w:r>
    </w:p>
    <w:p>
      <w:pPr>
        <w:shd w:fill="F2F2F2" w:val="clear"/>
        <w:spacing w:after="100"/>
      </w:pPr>
      <w:r>
        <w:rPr>
          <w:rFonts w:ascii="Consolas" w:cs="Consolas" w:eastAsia="Consolas" w:hAnsi="Consolas"/>
          <w:sz w:val="19"/>
          <w:szCs w:val="19"/>
        </w:rPr>
        <w:t xml:space="preserve">      |</w:t>
      </w:r>
    </w:p>
    <w:p>
      <w:pPr>
        <w:shd w:fill="F2F2F2" w:val="clear"/>
        <w:spacing w:after="100"/>
      </w:pPr>
      <w:r>
        <w:rPr>
          <w:rFonts w:ascii="Consolas" w:cs="Consolas" w:eastAsia="Consolas" w:hAnsi="Consolas"/>
          <w:sz w:val="19"/>
          <w:szCs w:val="19"/>
        </w:rPr>
        <w:t xml:space="preserve">dataset_collector.py</w:t>
      </w:r>
    </w:p>
    <w:p>
      <w:pPr>
        <w:shd w:fill="F2F2F2" w:val="clear"/>
        <w:spacing w:after="100"/>
      </w:pPr>
      <w:r>
        <w:rPr>
          <w:rFonts w:ascii="Consolas" w:cs="Consolas" w:eastAsia="Consolas" w:hAnsi="Consolas"/>
          <w:sz w:val="19"/>
          <w:szCs w:val="19"/>
        </w:rPr>
        <w:t xml:space="preserve">  - Real per-switch stats (fixes Bug 1)</w:t>
      </w:r>
    </w:p>
    <w:p>
      <w:pPr>
        <w:shd w:fill="F2F2F2" w:val="clear"/>
        <w:spacing w:after="100"/>
      </w:pPr>
      <w:r>
        <w:rPr>
          <w:rFonts w:ascii="Consolas" w:cs="Consolas" w:eastAsia="Consolas" w:hAnsi="Consolas"/>
          <w:sz w:val="19"/>
          <w:szCs w:val="19"/>
        </w:rPr>
        <w:t xml:space="preserve">  - NEW columns: W1...W12 edge weights, path_ratio</w:t>
      </w:r>
    </w:p>
    <w:p>
      <w:pPr>
        <w:shd w:fill="F2F2F2" w:val="clear"/>
        <w:spacing w:after="100"/>
      </w:pPr>
      <w:r>
        <w:rPr>
          <w:rFonts w:ascii="Consolas" w:cs="Consolas" w:eastAsia="Consolas" w:hAnsi="Consolas"/>
          <w:sz w:val="19"/>
          <w:szCs w:val="19"/>
        </w:rPr>
        <w:t xml:space="preserve">      |</w:t>
      </w:r>
    </w:p>
    <w:p>
      <w:pPr>
        <w:shd w:fill="F2F2F2" w:val="clear"/>
        <w:spacing w:after="100"/>
      </w:pPr>
      <w:r>
        <w:rPr>
          <w:rFonts w:ascii="Consolas" w:cs="Consolas" w:eastAsia="Consolas" w:hAnsi="Consolas"/>
          <w:sz w:val="19"/>
          <w:szCs w:val="19"/>
        </w:rPr>
        <w:t xml:space="preserve">Labelled CSV: 10 features + 12 edge weights + path_ratio + S0-S3 label</w:t>
      </w:r>
    </w:p>
    <w:p>
      <w:pPr>
        <w:pStyle w:val="Heading1"/>
        <w:pBdr>
          <w:bottom w:val="single" w:color="B3261E" w:sz="12" w:space="4"/>
        </w:pBdr>
        <w:spacing w:after="200" w:before="400"/>
      </w:pPr>
      <w:r>
        <w:rPr>
          <w:b/>
          <w:bCs/>
          <w:color w:val="B3261E"/>
          <w:sz w:val="30"/>
          <w:szCs w:val="30"/>
        </w:rPr>
        <w:t xml:space="preserve">6. Phase 2 — Detection &amp; Intelligence Layer (Box A–H)</w:t>
      </w:r>
    </w:p>
    <w:p>
      <w:pPr>
        <w:pStyle w:val="Heading2"/>
        <w:spacing w:after="120" w:before="300"/>
      </w:pPr>
      <w:r>
        <w:rPr>
          <w:b/>
          <w:bCs/>
          <w:color w:val="0F766E"/>
          <w:sz w:val="24"/>
          <w:szCs w:val="24"/>
        </w:rPr>
        <w:t xml:space="preserve">Box A — Event Normalization</w:t>
      </w:r>
    </w:p>
    <w:p>
      <w:pPr>
        <w:spacing w:after="120"/>
      </w:pPr>
      <w:r>
        <w:rPr>
          <w:sz w:val="21"/>
          <w:szCs w:val="21"/>
        </w:rPr>
        <w:t xml:space="preserve">Input: raw row (10 features + 12 edge weights + path_ratio) per switch per poll.</w:t>
      </w:r>
    </w:p>
    <w:p>
      <w:pPr>
        <w:spacing w:after="120"/>
      </w:pPr>
      <w:r>
        <w:rPr>
          <w:sz w:val="21"/>
          <w:szCs w:val="21"/>
        </w:rPr>
        <w:t xml:space="preserve">Processing: Min-Max / Z-score — normalize node-features, edge-weights, and path-ratio as separate groups (different scales and semantics, do not normalize together).</w:t>
      </w:r>
    </w:p>
    <w:p>
      <w:pPr>
        <w:spacing w:after="120"/>
      </w:pPr>
      <w:r>
        <w:rPr>
          <w:sz w:val="21"/>
          <w:szCs w:val="21"/>
        </w:rPr>
        <w:t xml:space="preserve">Output: normalized feature vector.</w:t>
      </w:r>
    </w:p>
    <w:p>
      <w:pPr>
        <w:pStyle w:val="Heading2"/>
        <w:spacing w:after="120" w:before="300"/>
      </w:pPr>
      <w:r>
        <w:rPr>
          <w:b/>
          <w:bCs/>
          <w:color w:val="0F766E"/>
          <w:sz w:val="24"/>
          <w:szCs w:val="24"/>
        </w:rPr>
        <w:t xml:space="preserve">Box B — Stage Classifier (S0–S3, rule-grounded)</w:t>
      </w:r>
    </w:p>
    <w:p>
      <w:pPr>
        <w:spacing w:after="120"/>
      </w:pPr>
      <w:r>
        <w:rPr>
          <w:sz w:val="21"/>
          <w:szCs w:val="21"/>
        </w:rPr>
        <w:t xml:space="preserve">Model: Random Forest / FT-Transformer, multi-class over [S0, S1, S2, S3], using the Rule→Stage→Feature mapping table in Section 2.</w:t>
      </w:r>
    </w:p>
    <w:p>
      <w:pPr>
        <w:spacing w:after="120"/>
      </w:pPr>
      <w:r>
        <w:rPr>
          <w:sz w:val="21"/>
          <w:szCs w:val="21"/>
        </w:rPr>
        <w:t xml:space="preserve">Output: predicted_stage, confidence, triggered_rule (kept for traceability into Box G).</w:t>
      </w:r>
    </w:p>
    <w:p>
      <w:pPr>
        <w:spacing w:after="120"/>
      </w:pPr>
      <w:r>
        <w:rPr>
          <w:sz w:val="21"/>
          <w:szCs w:val="21"/>
        </w:rPr>
        <w:t xml:space="preserve">Optional: map each predicted stage to a nearest MITRE label, purely for report interpretability — does not affect any downstream logic.</w:t>
      </w:r>
    </w:p>
    <w:p>
      <w:pPr>
        <w:pStyle w:val="Heading2"/>
        <w:spacing w:after="120" w:before="300"/>
      </w:pPr>
      <w:r>
        <w:rPr>
          <w:b/>
          <w:bCs/>
          <w:color w:val="0F766E"/>
          <w:sz w:val="24"/>
          <w:szCs w:val="24"/>
        </w:rPr>
        <w:t xml:space="preserve">Box C — Session Builder (behaviour-based, per-switch persona)</w:t>
      </w:r>
    </w:p>
    <w:p>
      <w:pPr>
        <w:spacing w:after="120"/>
      </w:pPr>
      <w:r>
        <w:rPr>
          <w:sz w:val="21"/>
          <w:szCs w:val="21"/>
        </w:rPr>
        <w:t xml:space="preserve">Input: stage + confidence + feature vector + edge-weight snapshot + dpid + timestamp.</w:t>
      </w:r>
    </w:p>
    <w:p>
      <w:pPr>
        <w:spacing w:after="120"/>
      </w:pPr>
      <w:r>
        <w:rPr>
          <w:sz w:val="21"/>
          <w:szCs w:val="21"/>
        </w:rPr>
        <w:t xml:space="preserve">Processing: group consecutive polls from the same dpid into a session using (1) behavioural similarity — feature-vector distance across polls, (2) time proximity — within N poll intervals, (3) stage continuity — S0→S1→S2→S3 is valid, an S3→S0 jump without an explicit deactivate event is flagged as anomalous rather than silently accepted.</w:t>
      </w:r>
    </w:p>
    <w:p>
      <w:pPr>
        <w:spacing w:after="120"/>
      </w:pPr>
      <w:r>
        <w:rPr>
          <w:sz w:val="21"/>
          <w:szCs w:val="21"/>
        </w:rPr>
        <w:t xml:space="preserve">Output: session_id, stage_sequence, feature_history, edge_weight_history, single/multi-stage flag.</w:t>
      </w:r>
    </w:p>
    <w:p>
      <w:pPr>
        <w:spacing w:after="120"/>
      </w:pPr>
      <w:r>
        <w:rPr>
          <w:sz w:val="21"/>
          <w:szCs w:val="21"/>
        </w:rPr>
        <w:t xml:space="preserve">Why dpid-based identity fits better here than IP-based: this attack's routing is already dpid/topology-driven, so session identity is naturally spoofing-robust without extra engineering.</w:t>
      </w:r>
    </w:p>
    <w:p>
      <w:pPr>
        <w:pStyle w:val="Heading2"/>
        <w:spacing w:after="120" w:before="300"/>
      </w:pPr>
      <w:r>
        <w:rPr>
          <w:b/>
          <w:bCs/>
          <w:color w:val="0F766E"/>
          <w:sz w:val="24"/>
          <w:szCs w:val="24"/>
        </w:rPr>
        <w:t xml:space="preserve">Box D — Stage Predictor (feature-weighted semi-Markov model)</w:t>
      </w:r>
    </w:p>
    <w:p>
      <w:pPr>
        <w:spacing w:after="120"/>
      </w:pPr>
      <w:r>
        <w:rPr>
          <w:sz w:val="21"/>
          <w:szCs w:val="21"/>
        </w:rPr>
        <w:t xml:space="preserve">This is the actual computation behind the “semi-Markov chain” label in the original diagram — previously only a name, now specified precisely.</w:t>
      </w:r>
    </w:p>
    <w:p>
      <w:pPr>
        <w:spacing w:after="80" w:before="200"/>
      </w:pPr>
      <w:r>
        <w:rPr>
          <w:b/>
          <w:bCs/>
          <w:color w:val="B7791F"/>
          <w:sz w:val="21"/>
          <w:szCs w:val="21"/>
        </w:rPr>
        <w:t xml:space="preserve">(i) Feature-weighted transition probability</w:t>
      </w:r>
    </w:p>
    <w:p>
      <w:pPr>
        <w:shd w:fill="F2F2F2" w:val="clear"/>
        <w:spacing w:after="100"/>
      </w:pPr>
      <w:r>
        <w:rPr>
          <w:rFonts w:ascii="Consolas" w:cs="Consolas" w:eastAsia="Consolas" w:hAnsi="Consolas"/>
          <w:sz w:val="19"/>
          <w:szCs w:val="19"/>
        </w:rPr>
        <w:t xml:space="preserve">P(S_i -&gt; S_j | x) = softmax( w_j . x + b_j )</w:t>
      </w:r>
    </w:p>
    <w:p>
      <w:pPr>
        <w:spacing w:after="120"/>
      </w:pPr>
      <w:r>
        <w:rPr>
          <w:sz w:val="21"/>
          <w:szCs w:val="21"/>
        </w:rPr>
        <w:t xml:space="preserve">x = current normalized feature vector (TG, entropy, QDR, CC, edge-weight-imbalance, path_ratio). w_j are learned per-transition weights (e.g. small logistic layer), trained on labelled session data — not hardcoded thresholds.</w:t>
      </w:r>
    </w:p>
    <w:p>
      <w:pPr>
        <w:spacing w:after="80" w:before="200"/>
      </w:pPr>
      <w:r>
        <w:rPr>
          <w:b/>
          <w:bCs/>
          <w:color w:val="B7791F"/>
          <w:sz w:val="21"/>
          <w:szCs w:val="21"/>
        </w:rPr>
        <w:t xml:space="preserve">(ii) Sojourn time distribution per stage</w:t>
      </w:r>
    </w:p>
    <w:p>
      <w:pPr>
        <w:spacing w:after="120"/>
      </w:pPr>
      <w:r>
        <w:rPr>
          <w:sz w:val="21"/>
          <w:szCs w:val="21"/>
        </w:rPr>
        <w:t xml:space="preserve">The “semi” in semi-Markov: unlike standard Markov chains (memoryless, exponential dwell time), each stage's dwell time is fit to an empirical or Weibull distribution from session logs — e.g. “how many polling intervals does a session typically stay in S1 before moving to S2?”</w:t>
      </w:r>
    </w:p>
    <w:p>
      <w:pPr>
        <w:spacing w:after="120"/>
      </w:pPr>
      <w:r>
        <w:rPr>
          <w:sz w:val="21"/>
          <w:szCs w:val="21"/>
        </w:rPr>
        <w:t xml:space="preserve">Output: predicted_next_stage, transition_probability, estimated_sojourn_remaining, confidence.</w:t>
      </w:r>
    </w:p>
    <w:p>
      <w:pPr>
        <w:pStyle w:val="Heading2"/>
        <w:spacing w:after="120" w:before="300"/>
      </w:pPr>
      <w:r>
        <w:rPr>
          <w:b/>
          <w:bCs/>
          <w:color w:val="0F766E"/>
          <w:sz w:val="24"/>
          <w:szCs w:val="24"/>
        </w:rPr>
        <w:t xml:space="preserve">Box E — Risk Scoring Engine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B3261E" w:val="clear"/>
            <w:tcMar>
              <w:top w:type="dxa" w:w="80"/>
              <w:left w:type="dxa" w:w="100"/>
              <w:bottom w:type="dxa" w:w="80"/>
              <w:right w:type="dxa" w:w="100"/>
            </w:tcMar>
          </w:tcPr>
          <w:p>
            <w:r>
              <w:rPr>
                <w:b/>
                <w:bCs/>
                <w:color w:val="FFFFFF"/>
                <w:sz w:val="19"/>
                <w:szCs w:val="19"/>
              </w:rPr>
              <w:t xml:space="preserve">Component</w:t>
            </w:r>
          </w:p>
        </w:tc>
        <w:tc>
          <w:tcPr>
            <w:tcW w:type="dxa" w:w="6500"/>
            <w:shd w:fill="B3261E" w:val="clear"/>
            <w:tcMar>
              <w:top w:type="dxa" w:w="80"/>
              <w:left w:type="dxa" w:w="100"/>
              <w:bottom w:type="dxa" w:w="80"/>
              <w:right w:type="dxa" w:w="100"/>
            </w:tcMar>
          </w:tcPr>
          <w:p>
            <w:r>
              <w:rPr>
                <w:b/>
                <w:bCs/>
                <w:color w:val="FFFFFF"/>
                <w:sz w:val="19"/>
                <w:szCs w:val="19"/>
              </w:rPr>
              <w:t xml:space="preserve">Rule</w:t>
            </w:r>
          </w:p>
        </w:tc>
      </w:tr>
      <w:tr>
        <w:tc>
          <w:tcPr>
            <w:tcW w:type="dxa" w:w="3000"/>
            <w:tcMar>
              <w:top w:type="dxa" w:w="80"/>
              <w:left w:type="dxa" w:w="100"/>
              <w:bottom w:type="dxa" w:w="80"/>
              <w:right w:type="dxa" w:w="100"/>
            </w:tcMar>
          </w:tcPr>
          <w:p>
            <w:r>
              <w:rPr>
                <w:b w:val="false"/>
                <w:bCs w:val="false"/>
                <w:color w:val="333333"/>
                <w:sz w:val="19"/>
                <w:szCs w:val="19"/>
              </w:rPr>
              <w:t xml:space="preserve">Stage severity</w:t>
            </w:r>
          </w:p>
        </w:tc>
        <w:tc>
          <w:tcPr>
            <w:tcW w:type="dxa" w:w="6500"/>
            <w:tcMar>
              <w:top w:type="dxa" w:w="80"/>
              <w:left w:type="dxa" w:w="100"/>
              <w:bottom w:type="dxa" w:w="80"/>
              <w:right w:type="dxa" w:w="100"/>
            </w:tcMar>
          </w:tcPr>
          <w:p>
            <w:r>
              <w:rPr>
                <w:b w:val="false"/>
                <w:bCs w:val="false"/>
                <w:color w:val="333333"/>
                <w:sz w:val="19"/>
                <w:szCs w:val="19"/>
              </w:rPr>
              <w:t xml:space="preserve">S0=0, S1=25, S2=60, S3=100</w:t>
            </w:r>
          </w:p>
        </w:tc>
      </w:tr>
      <w:tr>
        <w:tc>
          <w:tcPr>
            <w:tcW w:type="dxa" w:w="3000"/>
            <w:shd w:fill="F7F7F7" w:val="clear"/>
            <w:tcMar>
              <w:top w:type="dxa" w:w="80"/>
              <w:left w:type="dxa" w:w="100"/>
              <w:bottom w:type="dxa" w:w="80"/>
              <w:right w:type="dxa" w:w="100"/>
            </w:tcMar>
          </w:tcPr>
          <w:p>
            <w:r>
              <w:rPr>
                <w:b w:val="false"/>
                <w:bCs w:val="false"/>
                <w:color w:val="333333"/>
                <w:sz w:val="19"/>
                <w:szCs w:val="19"/>
              </w:rPr>
              <w:t xml:space="preserve">Context weighting</w:t>
            </w:r>
          </w:p>
        </w:tc>
        <w:tc>
          <w:tcPr>
            <w:tcW w:type="dxa" w:w="6500"/>
            <w:shd w:fill="F7F7F7" w:val="clear"/>
            <w:tcMar>
              <w:top w:type="dxa" w:w="80"/>
              <w:left w:type="dxa" w:w="100"/>
              <w:bottom w:type="dxa" w:w="80"/>
              <w:right w:type="dxa" w:w="100"/>
            </w:tcMar>
          </w:tcPr>
          <w:p>
            <w:r>
              <w:rPr>
                <w:b w:val="false"/>
                <w:bCs w:val="false"/>
                <w:color w:val="333333"/>
                <w:sz w:val="19"/>
                <w:szCs w:val="19"/>
              </w:rPr>
              <w:t xml:space="preserve">entropy-drop high = +15, QDR-drop high = +15, edge-imbalance high = +20</w:t>
            </w:r>
          </w:p>
        </w:tc>
      </w:tr>
      <w:tr>
        <w:tc>
          <w:tcPr>
            <w:tcW w:type="dxa" w:w="3000"/>
            <w:tcMar>
              <w:top w:type="dxa" w:w="80"/>
              <w:left w:type="dxa" w:w="100"/>
              <w:bottom w:type="dxa" w:w="80"/>
              <w:right w:type="dxa" w:w="100"/>
            </w:tcMar>
          </w:tcPr>
          <w:p>
            <w:r>
              <w:rPr>
                <w:b w:val="false"/>
                <w:bCs w:val="false"/>
                <w:color w:val="333333"/>
                <w:sz w:val="19"/>
                <w:szCs w:val="19"/>
              </w:rPr>
              <w:t xml:space="preserve">Prediction-based boost</w:t>
            </w:r>
          </w:p>
        </w:tc>
        <w:tc>
          <w:tcPr>
            <w:tcW w:type="dxa" w:w="6500"/>
            <w:tcMar>
              <w:top w:type="dxa" w:w="80"/>
              <w:left w:type="dxa" w:w="100"/>
              <w:bottom w:type="dxa" w:w="80"/>
              <w:right w:type="dxa" w:w="100"/>
            </w:tcMar>
          </w:tcPr>
          <w:p>
            <w:r>
              <w:rPr>
                <w:b w:val="false"/>
                <w:bCs w:val="false"/>
                <w:color w:val="333333"/>
                <w:sz w:val="19"/>
                <w:szCs w:val="19"/>
              </w:rPr>
              <w:t xml:space="preserve">+20 if predicted_next_stage ∈ {S2, S3}</w:t>
            </w:r>
          </w:p>
        </w:tc>
      </w:tr>
      <w:tr>
        <w:tc>
          <w:tcPr>
            <w:tcW w:type="dxa" w:w="3000"/>
            <w:shd w:fill="F7F7F7" w:val="clear"/>
            <w:tcMar>
              <w:top w:type="dxa" w:w="80"/>
              <w:left w:type="dxa" w:w="100"/>
              <w:bottom w:type="dxa" w:w="80"/>
              <w:right w:type="dxa" w:w="100"/>
            </w:tcMar>
          </w:tcPr>
          <w:p>
            <w:r>
              <w:rPr>
                <w:b w:val="false"/>
                <w:bCs w:val="false"/>
                <w:color w:val="333333"/>
                <w:sz w:val="19"/>
                <w:szCs w:val="19"/>
              </w:rPr>
              <w:t xml:space="preserve">Confidence scaling</w:t>
            </w:r>
          </w:p>
        </w:tc>
        <w:tc>
          <w:tcPr>
            <w:tcW w:type="dxa" w:w="6500"/>
            <w:shd w:fill="F7F7F7" w:val="clear"/>
            <w:tcMar>
              <w:top w:type="dxa" w:w="80"/>
              <w:left w:type="dxa" w:w="100"/>
              <w:bottom w:type="dxa" w:w="80"/>
              <w:right w:type="dxa" w:w="100"/>
            </w:tcMar>
          </w:tcPr>
          <w:p>
            <w:r>
              <w:rPr>
                <w:b w:val="false"/>
                <w:bCs w:val="false"/>
                <w:color w:val="333333"/>
                <w:sz w:val="19"/>
                <w:szCs w:val="19"/>
              </w:rPr>
              <w:t xml:space="preserve">final_score = (stage_score + context_score + prediction_boost) × confidence</w:t>
            </w:r>
          </w:p>
        </w:tc>
      </w:tr>
      <w:tr>
        <w:tc>
          <w:tcPr>
            <w:tcW w:type="dxa" w:w="3000"/>
            <w:tcMar>
              <w:top w:type="dxa" w:w="80"/>
              <w:left w:type="dxa" w:w="100"/>
              <w:bottom w:type="dxa" w:w="80"/>
              <w:right w:type="dxa" w:w="100"/>
            </w:tcMar>
          </w:tcPr>
          <w:p>
            <w:r>
              <w:rPr>
                <w:b w:val="false"/>
                <w:bCs w:val="false"/>
                <w:color w:val="333333"/>
                <w:sz w:val="19"/>
                <w:szCs w:val="19"/>
              </w:rPr>
              <w:t xml:space="preserve">Risk level bands</w:t>
            </w:r>
          </w:p>
        </w:tc>
        <w:tc>
          <w:tcPr>
            <w:tcW w:type="dxa" w:w="6500"/>
            <w:tcMar>
              <w:top w:type="dxa" w:w="80"/>
              <w:left w:type="dxa" w:w="100"/>
              <w:bottom w:type="dxa" w:w="80"/>
              <w:right w:type="dxa" w:w="100"/>
            </w:tcMar>
          </w:tcPr>
          <w:p>
            <w:r>
              <w:rPr>
                <w:b w:val="false"/>
                <w:bCs w:val="false"/>
                <w:color w:val="333333"/>
                <w:sz w:val="19"/>
                <w:szCs w:val="19"/>
              </w:rPr>
              <w:t xml:space="preserve">0–30 LOW, 30–60 MEDIUM, 60–80 HIGH, 80+ CRITICAL</w:t>
            </w:r>
          </w:p>
        </w:tc>
      </w:tr>
    </w:tbl>
    <w:p>
      <w:pPr>
        <w:pStyle w:val="Heading2"/>
        <w:spacing w:after="120" w:before="300"/>
      </w:pPr>
      <w:r>
        <w:rPr>
          <w:b/>
          <w:bCs/>
          <w:color w:val="0F766E"/>
          <w:sz w:val="24"/>
          <w:szCs w:val="24"/>
        </w:rPr>
        <w:t xml:space="preserve">Box F — Adaptive Threshold Manager</w:t>
      </w:r>
    </w:p>
    <w:p>
      <w:pPr>
        <w:spacing w:after="120"/>
      </w:pPr>
      <w:r>
        <w:rPr>
          <w:sz w:val="21"/>
          <w:szCs w:val="21"/>
        </w:rPr>
        <w:t xml:space="preserve">Formula structure unchanged from the original IntruSex design (BASE + trust_effect − stage_effect − confidence_effect, clamped 20–200). trust_score is redefined as per-switch historical reliability — a switch that has never been adjacent to GBH earns higher trust (more relaxed threshold); s7 (the logical neighbour) earns lower trust once probes are detected.</w:t>
      </w:r>
    </w:p>
    <w:p>
      <w:pPr>
        <w:spacing w:after="120"/>
      </w:pPr>
      <w:r>
        <w:rPr>
          <w:sz w:val="21"/>
          <w:szCs w:val="21"/>
        </w:rPr>
        <w:t xml:space="preserve">Decision: alert = True if risk_score &gt; threshold, else False.</w:t>
      </w:r>
    </w:p>
    <w:p>
      <w:pPr>
        <w:pStyle w:val="Heading2"/>
        <w:spacing w:after="120" w:before="300"/>
      </w:pPr>
      <w:r>
        <w:rPr>
          <w:b/>
          <w:bCs/>
          <w:color w:val="0F766E"/>
          <w:sz w:val="24"/>
          <w:szCs w:val="24"/>
        </w:rPr>
        <w:t xml:space="preserve">Box G — Explainable AI Layer (new, final analytical stage)</w:t>
      </w:r>
    </w:p>
    <w:p>
      <w:pPr>
        <w:spacing w:after="120"/>
      </w:pPr>
      <w:r>
        <w:rPr>
          <w:sz w:val="21"/>
          <w:szCs w:val="21"/>
        </w:rPr>
        <w:t xml:space="preserve">Input: everything upstream — Box B's prediction + triggered_rule, Box D's transition + driving features, Box E's risk score.</w:t>
      </w:r>
    </w:p>
    <w:p>
      <w:pPr>
        <w:pStyle w:val="ListParagraph"/>
        <w:numPr>
          <w:ilvl w:val="0"/>
          <w:numId w:val="2"/>
        </w:numPr>
        <w:spacing w:after="60"/>
      </w:pPr>
      <w:r>
        <w:rPr>
          <w:sz w:val="20"/>
          <w:szCs w:val="20"/>
        </w:rPr>
        <w:t xml:space="preserve">SHAP values on Box B's classifier — which features drove this specific stage prediction, per session.</w:t>
      </w:r>
    </w:p>
    <w:p>
      <w:pPr>
        <w:pStyle w:val="ListParagraph"/>
        <w:numPr>
          <w:ilvl w:val="0"/>
          <w:numId w:val="2"/>
        </w:numPr>
        <w:spacing w:after="60"/>
      </w:pPr>
      <w:r>
        <w:rPr>
          <w:sz w:val="20"/>
          <w:szCs w:val="20"/>
        </w:rPr>
        <w:t xml:space="preserve">Rule attribution — surface Box B's triggered_rule as a human-readable reason directly, not just SHAP numbers.</w:t>
      </w:r>
    </w:p>
    <w:p>
      <w:pPr>
        <w:pStyle w:val="ListParagraph"/>
        <w:numPr>
          <w:ilvl w:val="0"/>
          <w:numId w:val="2"/>
        </w:numPr>
        <w:spacing w:after="60"/>
      </w:pPr>
      <w:r>
        <w:rPr>
          <w:sz w:val="20"/>
          <w:szCs w:val="20"/>
        </w:rPr>
        <w:t xml:space="preserve">Transition explanation — from Box D, name the specific feature that pushed the transition probability (e.g. “edge-weight-in ↑ 340% over last 3 polls”).</w:t>
      </w:r>
    </w:p>
    <w:p>
      <w:pPr>
        <w:pStyle w:val="ListParagraph"/>
        <w:numPr>
          <w:ilvl w:val="0"/>
          <w:numId w:val="2"/>
        </w:numPr>
        <w:spacing w:after="60"/>
      </w:pPr>
      <w:r>
        <w:rPr>
          <w:sz w:val="20"/>
          <w:szCs w:val="20"/>
        </w:rPr>
        <w:t xml:space="preserve">Session-level narrative generation — combine SHAP + rule + transition into one explanation string per alert.</w:t>
      </w:r>
    </w:p>
    <w:p>
      <w:pPr>
        <w:spacing w:after="120"/>
      </w:pPr>
      <w:r>
        <w:rPr>
          <w:i/>
          <w:iCs/>
          <w:sz w:val="21"/>
          <w:szCs w:val="21"/>
        </w:rPr>
        <w:t xml:space="preserve">Example output:</w:t>
      </w:r>
    </w:p>
    <w:p>
      <w:pPr>
        <w:shd w:fill="F2F2F2" w:val="clear"/>
        <w:spacing w:after="100"/>
      </w:pPr>
      <w:r>
        <w:rPr>
          <w:rFonts w:ascii="Consolas" w:cs="Consolas" w:eastAsia="Consolas" w:hAnsi="Consolas"/>
          <w:sz w:val="19"/>
          <w:szCs w:val="19"/>
        </w:rPr>
        <w:t xml:space="preserve">"Session S12 flagged CRITICAL: entropy at s5 dropped 0.8-&gt;0.15</w:t>
      </w:r>
    </w:p>
    <w:p>
      <w:pPr>
        <w:shd w:fill="F2F2F2" w:val="clear"/>
        <w:spacing w:after="100"/>
      </w:pPr>
      <w:r>
        <w:rPr>
          <w:rFonts w:ascii="Consolas" w:cs="Consolas" w:eastAsia="Consolas" w:hAnsi="Consolas"/>
          <w:sz w:val="19"/>
          <w:szCs w:val="19"/>
        </w:rPr>
        <w:t xml:space="preserve"> (Rule 4: Artificial Routing Dominance), edge-weight D-&gt;E now</w:t>
      </w:r>
    </w:p>
    <w:p>
      <w:pPr>
        <w:shd w:fill="F2F2F2" w:val="clear"/>
        <w:spacing w:after="100"/>
      </w:pPr>
      <w:r>
        <w:rPr>
          <w:rFonts w:ascii="Consolas" w:cs="Consolas" w:eastAsia="Consolas" w:hAnsi="Consolas"/>
          <w:sz w:val="19"/>
          <w:szCs w:val="19"/>
        </w:rPr>
        <w:t xml:space="preserve"> carries 89% of P2 traffic, QDR trending to 0 -&gt; predicted S3</w:t>
      </w:r>
    </w:p>
    <w:p>
      <w:pPr>
        <w:shd w:fill="F2F2F2" w:val="clear"/>
        <w:spacing w:after="100"/>
      </w:pPr>
      <w:r>
        <w:rPr>
          <w:rFonts w:ascii="Consolas" w:cs="Consolas" w:eastAsia="Consolas" w:hAnsi="Consolas"/>
          <w:sz w:val="19"/>
          <w:szCs w:val="19"/>
        </w:rPr>
        <w:t xml:space="preserve"> within 2 polling intervals (semi-Markov sojourn estimate)."</w:t>
      </w:r>
    </w:p>
    <w:p>
      <w:pPr>
        <w:pStyle w:val="Heading2"/>
        <w:spacing w:after="120" w:before="300"/>
      </w:pPr>
      <w:r>
        <w:rPr>
          <w:b/>
          <w:bCs/>
          <w:color w:val="0F766E"/>
          <w:sz w:val="24"/>
          <w:szCs w:val="24"/>
        </w:rPr>
        <w:t xml:space="preserve">Box H — Visualization &amp; Reporting</w:t>
      </w:r>
    </w:p>
    <w:p>
      <w:pPr>
        <w:pStyle w:val="ListParagraph"/>
        <w:numPr>
          <w:ilvl w:val="0"/>
          <w:numId w:val="2"/>
        </w:numPr>
        <w:spacing w:after="60"/>
      </w:pPr>
      <w:r>
        <w:rPr>
          <w:sz w:val="20"/>
          <w:szCs w:val="20"/>
        </w:rPr>
        <w:t xml:space="preserve">Attack progression timeline (S0→S1→S2→S3 per session)</w:t>
      </w:r>
    </w:p>
    <w:p>
      <w:pPr>
        <w:pStyle w:val="ListParagraph"/>
        <w:numPr>
          <w:ilvl w:val="0"/>
          <w:numId w:val="2"/>
        </w:numPr>
        <w:spacing w:after="60"/>
      </w:pPr>
      <w:r>
        <w:rPr>
          <w:sz w:val="20"/>
          <w:szCs w:val="20"/>
        </w:rPr>
        <w:t xml:space="preserve">Edge-weight heatmap (P1 vs P2 over time)</w:t>
      </w:r>
    </w:p>
    <w:p>
      <w:pPr>
        <w:pStyle w:val="ListParagraph"/>
        <w:numPr>
          <w:ilvl w:val="0"/>
          <w:numId w:val="2"/>
        </w:numPr>
        <w:spacing w:after="60"/>
      </w:pPr>
      <w:r>
        <w:rPr>
          <w:sz w:val="20"/>
          <w:szCs w:val="20"/>
        </w:rPr>
        <w:t xml:space="preserve">Risk level trend, session table</w:t>
      </w:r>
    </w:p>
    <w:p>
      <w:pPr>
        <w:pStyle w:val="ListParagraph"/>
        <w:numPr>
          <w:ilvl w:val="0"/>
          <w:numId w:val="2"/>
        </w:numPr>
        <w:spacing w:after="60"/>
      </w:pPr>
      <w:r>
        <w:rPr>
          <w:sz w:val="20"/>
          <w:szCs w:val="20"/>
        </w:rPr>
        <w:t xml:space="preserve">SHAP / explanation panel per alert</w:t>
      </w:r>
    </w:p>
    <w:p>
      <w:pPr>
        <w:pStyle w:val="Heading1"/>
        <w:pBdr>
          <w:bottom w:val="single" w:color="B3261E" w:sz="12" w:space="4"/>
        </w:pBdr>
        <w:spacing w:after="200" w:before="400"/>
      </w:pPr>
      <w:r>
        <w:rPr>
          <w:b/>
          <w:bCs/>
          <w:color w:val="B3261E"/>
          <w:sz w:val="30"/>
          <w:szCs w:val="30"/>
        </w:rPr>
        <w:t xml:space="preserve">7. Dataset Strategy (parallel development, no wasted work)</w:t>
      </w:r>
    </w:p>
    <w:p>
      <w:pPr>
        <w:spacing w:after="80" w:before="200"/>
      </w:pPr>
      <w:r>
        <w:rPr>
          <w:b/>
          <w:bCs/>
          <w:color w:val="B7791F"/>
          <w:sz w:val="21"/>
          <w:szCs w:val="21"/>
        </w:rPr>
        <w:t xml:space="preserve">Verdict on external datasets (checked, do not revisit)</w:t>
      </w:r>
    </w:p>
    <w:p>
      <w:pPr>
        <w:pStyle w:val="ListParagraph"/>
        <w:numPr>
          <w:ilvl w:val="0"/>
          <w:numId w:val="2"/>
        </w:numPr>
        <w:spacing w:after="60"/>
      </w:pPr>
      <w:r>
        <w:rPr>
          <w:sz w:val="20"/>
          <w:szCs w:val="20"/>
        </w:rPr>
        <w:t xml:space="preserve">CIC-IDS: no RREQ/RREP, no edge-weight, no queue/QDR, no topology data. Only usable as a small, separate methodology-validation side-experiment on Box B's training loop using ~4 generic-overlap features (temporal gradient, skewness, kurtosis, flow-imbalance proxy). Does not touch Box C–H.</w:t>
      </w:r>
    </w:p>
    <w:p>
      <w:pPr>
        <w:pStyle w:val="ListParagraph"/>
        <w:numPr>
          <w:ilvl w:val="0"/>
          <w:numId w:val="2"/>
        </w:numPr>
        <w:spacing w:after="60"/>
      </w:pPr>
      <w:r>
        <w:rPr>
          <w:sz w:val="20"/>
          <w:szCs w:val="20"/>
        </w:rPr>
        <w:t xml:space="preserve">IEEE DataPort “Blackhole Attack” dataset: real, but built for RPL/IoT (Cooja/Contiki), a different protocol and attack mechanism (DODAG rank/version manipulation) — not AODV/SDN. Not worth the remapping effort; skip.</w:t>
      </w:r>
    </w:p>
    <w:p>
      <w:pPr>
        <w:pStyle w:val="ListParagraph"/>
        <w:numPr>
          <w:ilvl w:val="0"/>
          <w:numId w:val="2"/>
        </w:numPr>
        <w:spacing w:after="60"/>
      </w:pPr>
      <w:r>
        <w:rPr>
          <w:sz w:val="20"/>
          <w:szCs w:val="20"/>
        </w:rPr>
        <w:t xml:space="preserve">No public dataset combines SDN-controller telemetry with blackhole behaviour at this granularity — confirmed via search. This is treated as a novelty point in the report, not a gap.</w:t>
      </w:r>
    </w:p>
    <w:p>
      <w:pPr>
        <w:spacing w:after="80" w:before="200"/>
      </w:pPr>
      <w:r>
        <w:rPr>
          <w:b/>
          <w:bCs/>
          <w:color w:val="B7791F"/>
          <w:sz w:val="21"/>
          <w:szCs w:val="21"/>
        </w:rPr>
        <w:t xml:space="preserve">Chosen approach: schema-matched synthetic data generator</w:t>
      </w:r>
    </w:p>
    <w:p>
      <w:pPr>
        <w:spacing w:after="120"/>
      </w:pPr>
      <w:r>
        <w:rPr>
          <w:sz w:val="21"/>
          <w:szCs w:val="21"/>
        </w:rPr>
        <w:t xml:space="preserve">Build a rule-based synthetic generator that outputs the exact target schema — the same 10 features + 12 edge weights + path_ratio + S0–S3 label columns that dataset_collector.py will eventually produce — following the same behavioural rules already defined (entropy drop, QDR→0, TG spike, etc.), sampled with realistic randomness instead of real Mininet/Ryu telemetry.</w:t>
      </w:r>
    </w:p>
    <w:p>
      <w:pPr>
        <w:spacing w:after="120"/>
      </w:pPr>
      <w:r>
        <w:rPr>
          <w:sz w:val="21"/>
          <w:szCs w:val="21"/>
        </w:rPr>
        <w:t xml:space="preserve">Effect: Boxes A–H can be fully coded, trained, and demoed today. When the real dataset lands, only the CSV is swapped and models retrained — zero architecture or code changes, because the schema was matched from day one.</w:t>
      </w:r>
    </w:p>
    <w:p>
      <w:pPr>
        <w:spacing w:after="80" w:before="200"/>
      </w:pPr>
      <w:r>
        <w:rPr>
          <w:b/>
          <w:bCs/>
          <w:color w:val="B7791F"/>
          <w:sz w:val="21"/>
          <w:szCs w:val="21"/>
        </w:rPr>
        <w:t xml:space="preserve">Framing for meetings / report</w:t>
      </w:r>
    </w:p>
    <w:p>
      <w:pPr>
        <w:spacing w:after="120"/>
      </w:pPr>
      <w:r>
        <w:rPr>
          <w:i/>
          <w:iCs/>
          <w:sz w:val="21"/>
          <w:szCs w:val="21"/>
        </w:rPr>
        <w:t xml:space="preserve">“Dataset generation via the Mininet/Ryu pipeline is running in parallel. The downstream ML architecture (stage classifier, session builder, semi-Markov predictor, risk engine, XAI layer) is being built and validated on synthetic data matching the final schema exactly, so that once the real dataset is ready, only retraining is required — the architecture is already proven.”</w:t>
      </w:r>
    </w:p>
    <w:p>
      <w:pPr>
        <w:pStyle w:val="Heading1"/>
        <w:pBdr>
          <w:bottom w:val="single" w:color="B3261E" w:sz="12" w:space="4"/>
        </w:pBdr>
        <w:spacing w:after="200" w:before="400"/>
      </w:pPr>
      <w:r>
        <w:rPr>
          <w:b/>
          <w:bCs/>
          <w:color w:val="B3261E"/>
          <w:sz w:val="30"/>
          <w:szCs w:val="30"/>
        </w:rPr>
        <w:t xml:space="preserve">8. Build Order (do in this sequence)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6100"/>
        <w:gridCol w:w="2700"/>
      </w:tblGrid>
      <w:tr>
        <w:trPr>
          <w:tblHeader/>
        </w:trPr>
        <w:tc>
          <w:tcPr>
            <w:tcW w:type="dxa" w:w="700"/>
            <w:shd w:fill="B3261E" w:val="clear"/>
            <w:tcMar>
              <w:top w:type="dxa" w:w="80"/>
              <w:left w:type="dxa" w:w="100"/>
              <w:bottom w:type="dxa" w:w="80"/>
              <w:right w:type="dxa" w:w="100"/>
            </w:tcMar>
          </w:tcPr>
          <w:p>
            <w:r>
              <w:rPr>
                <w:b/>
                <w:bCs/>
                <w:color w:val="FFFFFF"/>
                <w:sz w:val="19"/>
                <w:szCs w:val="19"/>
              </w:rPr>
              <w:t xml:space="preserve">Step</w:t>
            </w:r>
          </w:p>
        </w:tc>
        <w:tc>
          <w:tcPr>
            <w:tcW w:type="dxa" w:w="6100"/>
            <w:shd w:fill="B3261E" w:val="clear"/>
            <w:tcMar>
              <w:top w:type="dxa" w:w="80"/>
              <w:left w:type="dxa" w:w="100"/>
              <w:bottom w:type="dxa" w:w="80"/>
              <w:right w:type="dxa" w:w="100"/>
            </w:tcMar>
          </w:tcPr>
          <w:p>
            <w:r>
              <w:rPr>
                <w:b/>
                <w:bCs/>
                <w:color w:val="FFFFFF"/>
                <w:sz w:val="19"/>
                <w:szCs w:val="19"/>
              </w:rPr>
              <w:t xml:space="preserve">Task</w:t>
            </w:r>
          </w:p>
        </w:tc>
        <w:tc>
          <w:tcPr>
            <w:tcW w:type="dxa" w:w="2700"/>
            <w:shd w:fill="B3261E" w:val="clear"/>
            <w:tcMar>
              <w:top w:type="dxa" w:w="80"/>
              <w:left w:type="dxa" w:w="100"/>
              <w:bottom w:type="dxa" w:w="80"/>
              <w:right w:type="dxa" w:w="100"/>
            </w:tcMar>
          </w:tcPr>
          <w:p>
            <w:r>
              <w:rPr>
                <w:b/>
                <w:bCs/>
                <w:color w:val="FFFFFF"/>
                <w:sz w:val="19"/>
                <w:szCs w:val="19"/>
              </w:rPr>
              <w:t xml:space="preserve">Depends on</w:t>
            </w:r>
          </w:p>
        </w:tc>
      </w:tr>
      <w:tr>
        <w:tc>
          <w:tcPr>
            <w:tcW w:type="dxa" w:w="700"/>
            <w:tcMar>
              <w:top w:type="dxa" w:w="80"/>
              <w:left w:type="dxa" w:w="100"/>
              <w:bottom w:type="dxa" w:w="80"/>
              <w:right w:type="dxa" w:w="100"/>
            </w:tcMar>
          </w:tcPr>
          <w:p>
            <w:r>
              <w:rPr>
                <w:b w:val="false"/>
                <w:bCs w:val="false"/>
                <w:color w:val="333333"/>
                <w:sz w:val="19"/>
                <w:szCs w:val="19"/>
              </w:rPr>
              <w:t xml:space="preserve">1</w:t>
            </w:r>
          </w:p>
        </w:tc>
        <w:tc>
          <w:tcPr>
            <w:tcW w:type="dxa" w:w="6100"/>
            <w:tcMar>
              <w:top w:type="dxa" w:w="80"/>
              <w:left w:type="dxa" w:w="100"/>
              <w:bottom w:type="dxa" w:w="80"/>
              <w:right w:type="dxa" w:w="100"/>
            </w:tcMar>
          </w:tcPr>
          <w:p>
            <w:r>
              <w:rPr>
                <w:b w:val="false"/>
                <w:bCs w:val="false"/>
                <w:color w:val="333333"/>
                <w:sz w:val="19"/>
                <w:szCs w:val="19"/>
              </w:rPr>
              <w:t xml:space="preserve">Fix Ryu: real per-port stats + edge-to-link mapping + independent packet_in/flow_mod counters</w:t>
            </w:r>
          </w:p>
        </w:tc>
        <w:tc>
          <w:tcPr>
            <w:tcW w:type="dxa" w:w="2700"/>
            <w:tcMar>
              <w:top w:type="dxa" w:w="80"/>
              <w:left w:type="dxa" w:w="100"/>
              <w:bottom w:type="dxa" w:w="80"/>
              <w:right w:type="dxa" w:w="100"/>
            </w:tcMar>
          </w:tcPr>
          <w:p>
            <w:r>
              <w:rPr>
                <w:b w:val="false"/>
                <w:bCs w:val="false"/>
                <w:color w:val="333333"/>
                <w:sz w:val="19"/>
                <w:szCs w:val="19"/>
              </w:rPr>
              <w:t xml:space="preserve">—</w:t>
            </w:r>
          </w:p>
        </w:tc>
      </w:tr>
      <w:tr>
        <w:tc>
          <w:tcPr>
            <w:tcW w:type="dxa" w:w="700"/>
            <w:shd w:fill="F7F7F7" w:val="clear"/>
            <w:tcMar>
              <w:top w:type="dxa" w:w="80"/>
              <w:left w:type="dxa" w:w="100"/>
              <w:bottom w:type="dxa" w:w="80"/>
              <w:right w:type="dxa" w:w="100"/>
            </w:tcMar>
          </w:tcPr>
          <w:p>
            <w:r>
              <w:rPr>
                <w:b w:val="false"/>
                <w:bCs w:val="false"/>
                <w:color w:val="333333"/>
                <w:sz w:val="19"/>
                <w:szCs w:val="19"/>
              </w:rPr>
              <w:t xml:space="preserve">2</w:t>
            </w:r>
          </w:p>
        </w:tc>
        <w:tc>
          <w:tcPr>
            <w:tcW w:type="dxa" w:w="6100"/>
            <w:shd w:fill="F7F7F7" w:val="clear"/>
            <w:tcMar>
              <w:top w:type="dxa" w:w="80"/>
              <w:left w:type="dxa" w:w="100"/>
              <w:bottom w:type="dxa" w:w="80"/>
              <w:right w:type="dxa" w:w="100"/>
            </w:tcMar>
          </w:tcPr>
          <w:p>
            <w:r>
              <w:rPr>
                <w:b w:val="false"/>
                <w:bCs w:val="false"/>
                <w:color w:val="333333"/>
                <w:sz w:val="19"/>
                <w:szCs w:val="19"/>
              </w:rPr>
              <w:t xml:space="preserve">Update dataset_collector.py: add W1–W12 edge-weight columns + path_ratio</w:t>
            </w:r>
          </w:p>
        </w:tc>
        <w:tc>
          <w:tcPr>
            <w:tcW w:type="dxa" w:w="2700"/>
            <w:shd w:fill="F7F7F7" w:val="clear"/>
            <w:tcMar>
              <w:top w:type="dxa" w:w="80"/>
              <w:left w:type="dxa" w:w="100"/>
              <w:bottom w:type="dxa" w:w="80"/>
              <w:right w:type="dxa" w:w="100"/>
            </w:tcMar>
          </w:tcPr>
          <w:p>
            <w:r>
              <w:rPr>
                <w:b w:val="false"/>
                <w:bCs w:val="false"/>
                <w:color w:val="333333"/>
                <w:sz w:val="19"/>
                <w:szCs w:val="19"/>
              </w:rPr>
              <w:t xml:space="preserve">Step 1</w:t>
            </w:r>
          </w:p>
        </w:tc>
      </w:tr>
      <w:tr>
        <w:tc>
          <w:tcPr>
            <w:tcW w:type="dxa" w:w="700"/>
            <w:tcMar>
              <w:top w:type="dxa" w:w="80"/>
              <w:left w:type="dxa" w:w="100"/>
              <w:bottom w:type="dxa" w:w="80"/>
              <w:right w:type="dxa" w:w="100"/>
            </w:tcMar>
          </w:tcPr>
          <w:p>
            <w:r>
              <w:rPr>
                <w:b w:val="false"/>
                <w:bCs w:val="false"/>
                <w:color w:val="333333"/>
                <w:sz w:val="19"/>
                <w:szCs w:val="19"/>
              </w:rPr>
              <w:t xml:space="preserve">3</w:t>
            </w:r>
          </w:p>
        </w:tc>
        <w:tc>
          <w:tcPr>
            <w:tcW w:type="dxa" w:w="6100"/>
            <w:tcMar>
              <w:top w:type="dxa" w:w="80"/>
              <w:left w:type="dxa" w:w="100"/>
              <w:bottom w:type="dxa" w:w="80"/>
              <w:right w:type="dxa" w:w="100"/>
            </w:tcMar>
          </w:tcPr>
          <w:p>
            <w:r>
              <w:rPr>
                <w:b w:val="false"/>
                <w:bCs w:val="false"/>
                <w:color w:val="333333"/>
                <w:sz w:val="19"/>
                <w:szCs w:val="19"/>
              </w:rPr>
              <w:t xml:space="preserve">Build synthetic_data_generator.py matching the exact target schema</w:t>
            </w:r>
          </w:p>
        </w:tc>
        <w:tc>
          <w:tcPr>
            <w:tcW w:type="dxa" w:w="2700"/>
            <w:tcMar>
              <w:top w:type="dxa" w:w="80"/>
              <w:left w:type="dxa" w:w="100"/>
              <w:bottom w:type="dxa" w:w="80"/>
              <w:right w:type="dxa" w:w="100"/>
            </w:tcMar>
          </w:tcPr>
          <w:p>
            <w:r>
              <w:rPr>
                <w:b w:val="false"/>
                <w:bCs w:val="false"/>
                <w:color w:val="333333"/>
                <w:sz w:val="19"/>
                <w:szCs w:val="19"/>
              </w:rPr>
              <w:t xml:space="preserve">Can start immediately, parallel to 1–2</w:t>
            </w:r>
          </w:p>
        </w:tc>
      </w:tr>
      <w:tr>
        <w:tc>
          <w:tcPr>
            <w:tcW w:type="dxa" w:w="700"/>
            <w:shd w:fill="F7F7F7" w:val="clear"/>
            <w:tcMar>
              <w:top w:type="dxa" w:w="80"/>
              <w:left w:type="dxa" w:w="100"/>
              <w:bottom w:type="dxa" w:w="80"/>
              <w:right w:type="dxa" w:w="100"/>
            </w:tcMar>
          </w:tcPr>
          <w:p>
            <w:r>
              <w:rPr>
                <w:b w:val="false"/>
                <w:bCs w:val="false"/>
                <w:color w:val="333333"/>
                <w:sz w:val="19"/>
                <w:szCs w:val="19"/>
              </w:rPr>
              <w:t xml:space="preserve">4</w:t>
            </w:r>
          </w:p>
        </w:tc>
        <w:tc>
          <w:tcPr>
            <w:tcW w:type="dxa" w:w="6100"/>
            <w:shd w:fill="F7F7F7" w:val="clear"/>
            <w:tcMar>
              <w:top w:type="dxa" w:w="80"/>
              <w:left w:type="dxa" w:w="100"/>
              <w:bottom w:type="dxa" w:w="80"/>
              <w:right w:type="dxa" w:w="100"/>
            </w:tcMar>
          </w:tcPr>
          <w:p>
            <w:r>
              <w:rPr>
                <w:b w:val="false"/>
                <w:bCs w:val="false"/>
                <w:color w:val="333333"/>
                <w:sz w:val="19"/>
                <w:szCs w:val="19"/>
              </w:rPr>
              <w:t xml:space="preserve">Box A + Box B: normalization + stage classifier, trained on synthetic data</w:t>
            </w:r>
          </w:p>
        </w:tc>
        <w:tc>
          <w:tcPr>
            <w:tcW w:type="dxa" w:w="2700"/>
            <w:shd w:fill="F7F7F7" w:val="clear"/>
            <w:tcMar>
              <w:top w:type="dxa" w:w="80"/>
              <w:left w:type="dxa" w:w="100"/>
              <w:bottom w:type="dxa" w:w="80"/>
              <w:right w:type="dxa" w:w="100"/>
            </w:tcMar>
          </w:tcPr>
          <w:p>
            <w:r>
              <w:rPr>
                <w:b w:val="false"/>
                <w:bCs w:val="false"/>
                <w:color w:val="333333"/>
                <w:sz w:val="19"/>
                <w:szCs w:val="19"/>
              </w:rPr>
              <w:t xml:space="preserve">Step 3</w:t>
            </w:r>
          </w:p>
        </w:tc>
      </w:tr>
      <w:tr>
        <w:tc>
          <w:tcPr>
            <w:tcW w:type="dxa" w:w="700"/>
            <w:tcMar>
              <w:top w:type="dxa" w:w="80"/>
              <w:left w:type="dxa" w:w="100"/>
              <w:bottom w:type="dxa" w:w="80"/>
              <w:right w:type="dxa" w:w="100"/>
            </w:tcMar>
          </w:tcPr>
          <w:p>
            <w:r>
              <w:rPr>
                <w:b w:val="false"/>
                <w:bCs w:val="false"/>
                <w:color w:val="333333"/>
                <w:sz w:val="19"/>
                <w:szCs w:val="19"/>
              </w:rPr>
              <w:t xml:space="preserve">5</w:t>
            </w:r>
          </w:p>
        </w:tc>
        <w:tc>
          <w:tcPr>
            <w:tcW w:type="dxa" w:w="6100"/>
            <w:tcMar>
              <w:top w:type="dxa" w:w="80"/>
              <w:left w:type="dxa" w:w="100"/>
              <w:bottom w:type="dxa" w:w="80"/>
              <w:right w:type="dxa" w:w="100"/>
            </w:tcMar>
          </w:tcPr>
          <w:p>
            <w:r>
              <w:rPr>
                <w:b w:val="false"/>
                <w:bCs w:val="false"/>
                <w:color w:val="333333"/>
                <w:sz w:val="19"/>
                <w:szCs w:val="19"/>
              </w:rPr>
              <w:t xml:space="preserve">Box C: session builder, generating session logs from synthetic/real data</w:t>
            </w:r>
          </w:p>
        </w:tc>
        <w:tc>
          <w:tcPr>
            <w:tcW w:type="dxa" w:w="2700"/>
            <w:tcMar>
              <w:top w:type="dxa" w:w="80"/>
              <w:left w:type="dxa" w:w="100"/>
              <w:bottom w:type="dxa" w:w="80"/>
              <w:right w:type="dxa" w:w="100"/>
            </w:tcMar>
          </w:tcPr>
          <w:p>
            <w:r>
              <w:rPr>
                <w:b w:val="false"/>
                <w:bCs w:val="false"/>
                <w:color w:val="333333"/>
                <w:sz w:val="19"/>
                <w:szCs w:val="19"/>
              </w:rPr>
              <w:t xml:space="preserve">Step 4</w:t>
            </w:r>
          </w:p>
        </w:tc>
      </w:tr>
      <w:tr>
        <w:tc>
          <w:tcPr>
            <w:tcW w:type="dxa" w:w="700"/>
            <w:shd w:fill="F7F7F7" w:val="clear"/>
            <w:tcMar>
              <w:top w:type="dxa" w:w="80"/>
              <w:left w:type="dxa" w:w="100"/>
              <w:bottom w:type="dxa" w:w="80"/>
              <w:right w:type="dxa" w:w="100"/>
            </w:tcMar>
          </w:tcPr>
          <w:p>
            <w:r>
              <w:rPr>
                <w:b w:val="false"/>
                <w:bCs w:val="false"/>
                <w:color w:val="333333"/>
                <w:sz w:val="19"/>
                <w:szCs w:val="19"/>
              </w:rPr>
              <w:t xml:space="preserve">6</w:t>
            </w:r>
          </w:p>
        </w:tc>
        <w:tc>
          <w:tcPr>
            <w:tcW w:type="dxa" w:w="6100"/>
            <w:shd w:fill="F7F7F7" w:val="clear"/>
            <w:tcMar>
              <w:top w:type="dxa" w:w="80"/>
              <w:left w:type="dxa" w:w="100"/>
              <w:bottom w:type="dxa" w:w="80"/>
              <w:right w:type="dxa" w:w="100"/>
            </w:tcMar>
          </w:tcPr>
          <w:p>
            <w:r>
              <w:rPr>
                <w:b w:val="false"/>
                <w:bCs w:val="false"/>
                <w:color w:val="333333"/>
                <w:sz w:val="19"/>
                <w:szCs w:val="19"/>
              </w:rPr>
              <w:t xml:space="preserve">Box D: fit feature-weighted transition weights + sojourn distributions on session logs</w:t>
            </w:r>
          </w:p>
        </w:tc>
        <w:tc>
          <w:tcPr>
            <w:tcW w:type="dxa" w:w="2700"/>
            <w:shd w:fill="F7F7F7" w:val="clear"/>
            <w:tcMar>
              <w:top w:type="dxa" w:w="80"/>
              <w:left w:type="dxa" w:w="100"/>
              <w:bottom w:type="dxa" w:w="80"/>
              <w:right w:type="dxa" w:w="100"/>
            </w:tcMar>
          </w:tcPr>
          <w:p>
            <w:r>
              <w:rPr>
                <w:b w:val="false"/>
                <w:bCs w:val="false"/>
                <w:color w:val="333333"/>
                <w:sz w:val="19"/>
                <w:szCs w:val="19"/>
              </w:rPr>
              <w:t xml:space="preserve">Step 5</w:t>
            </w:r>
          </w:p>
        </w:tc>
      </w:tr>
      <w:tr>
        <w:tc>
          <w:tcPr>
            <w:tcW w:type="dxa" w:w="700"/>
            <w:tcMar>
              <w:top w:type="dxa" w:w="80"/>
              <w:left w:type="dxa" w:w="100"/>
              <w:bottom w:type="dxa" w:w="80"/>
              <w:right w:type="dxa" w:w="100"/>
            </w:tcMar>
          </w:tcPr>
          <w:p>
            <w:r>
              <w:rPr>
                <w:b w:val="false"/>
                <w:bCs w:val="false"/>
                <w:color w:val="333333"/>
                <w:sz w:val="19"/>
                <w:szCs w:val="19"/>
              </w:rPr>
              <w:t xml:space="preserve">7</w:t>
            </w:r>
          </w:p>
        </w:tc>
        <w:tc>
          <w:tcPr>
            <w:tcW w:type="dxa" w:w="6100"/>
            <w:tcMar>
              <w:top w:type="dxa" w:w="80"/>
              <w:left w:type="dxa" w:w="100"/>
              <w:bottom w:type="dxa" w:w="80"/>
              <w:right w:type="dxa" w:w="100"/>
            </w:tcMar>
          </w:tcPr>
          <w:p>
            <w:r>
              <w:rPr>
                <w:b w:val="false"/>
                <w:bCs w:val="false"/>
                <w:color w:val="333333"/>
                <w:sz w:val="19"/>
                <w:szCs w:val="19"/>
              </w:rPr>
              <w:t xml:space="preserve">Box E + Box F: risk scoring + adaptive threshold</w:t>
            </w:r>
          </w:p>
        </w:tc>
        <w:tc>
          <w:tcPr>
            <w:tcW w:type="dxa" w:w="2700"/>
            <w:tcMar>
              <w:top w:type="dxa" w:w="80"/>
              <w:left w:type="dxa" w:w="100"/>
              <w:bottom w:type="dxa" w:w="80"/>
              <w:right w:type="dxa" w:w="100"/>
            </w:tcMar>
          </w:tcPr>
          <w:p>
            <w:r>
              <w:rPr>
                <w:b w:val="false"/>
                <w:bCs w:val="false"/>
                <w:color w:val="333333"/>
                <w:sz w:val="19"/>
                <w:szCs w:val="19"/>
              </w:rPr>
              <w:t xml:space="preserve">Step 4 (stage/confidence needed)</w:t>
            </w:r>
          </w:p>
        </w:tc>
      </w:tr>
      <w:tr>
        <w:tc>
          <w:tcPr>
            <w:tcW w:type="dxa" w:w="700"/>
            <w:shd w:fill="F7F7F7" w:val="clear"/>
            <w:tcMar>
              <w:top w:type="dxa" w:w="80"/>
              <w:left w:type="dxa" w:w="100"/>
              <w:bottom w:type="dxa" w:w="80"/>
              <w:right w:type="dxa" w:w="100"/>
            </w:tcMar>
          </w:tcPr>
          <w:p>
            <w:r>
              <w:rPr>
                <w:b w:val="false"/>
                <w:bCs w:val="false"/>
                <w:color w:val="333333"/>
                <w:sz w:val="19"/>
                <w:szCs w:val="19"/>
              </w:rPr>
              <w:t xml:space="preserve">8</w:t>
            </w:r>
          </w:p>
        </w:tc>
        <w:tc>
          <w:tcPr>
            <w:tcW w:type="dxa" w:w="6100"/>
            <w:shd w:fill="F7F7F7" w:val="clear"/>
            <w:tcMar>
              <w:top w:type="dxa" w:w="80"/>
              <w:left w:type="dxa" w:w="100"/>
              <w:bottom w:type="dxa" w:w="80"/>
              <w:right w:type="dxa" w:w="100"/>
            </w:tcMar>
          </w:tcPr>
          <w:p>
            <w:r>
              <w:rPr>
                <w:b w:val="false"/>
                <w:bCs w:val="false"/>
                <w:color w:val="333333"/>
                <w:sz w:val="19"/>
                <w:szCs w:val="19"/>
              </w:rPr>
              <w:t xml:space="preserve">Box G: SHAP wrapper + narrative generation — can be prototyped early on dummy predictions</w:t>
            </w:r>
          </w:p>
        </w:tc>
        <w:tc>
          <w:tcPr>
            <w:tcW w:type="dxa" w:w="2700"/>
            <w:shd w:fill="F7F7F7" w:val="clear"/>
            <w:tcMar>
              <w:top w:type="dxa" w:w="80"/>
              <w:left w:type="dxa" w:w="100"/>
              <w:bottom w:type="dxa" w:w="80"/>
              <w:right w:type="dxa" w:w="100"/>
            </w:tcMar>
          </w:tcPr>
          <w:p>
            <w:r>
              <w:rPr>
                <w:b w:val="false"/>
                <w:bCs w:val="false"/>
                <w:color w:val="333333"/>
                <w:sz w:val="19"/>
                <w:szCs w:val="19"/>
              </w:rPr>
              <w:t xml:space="preserve">Step 4 (any trained model)</w:t>
            </w:r>
          </w:p>
        </w:tc>
      </w:tr>
      <w:tr>
        <w:tc>
          <w:tcPr>
            <w:tcW w:type="dxa" w:w="700"/>
            <w:tcMar>
              <w:top w:type="dxa" w:w="80"/>
              <w:left w:type="dxa" w:w="100"/>
              <w:bottom w:type="dxa" w:w="80"/>
              <w:right w:type="dxa" w:w="100"/>
            </w:tcMar>
          </w:tcPr>
          <w:p>
            <w:r>
              <w:rPr>
                <w:b w:val="false"/>
                <w:bCs w:val="false"/>
                <w:color w:val="333333"/>
                <w:sz w:val="19"/>
                <w:szCs w:val="19"/>
              </w:rPr>
              <w:t xml:space="preserve">9</w:t>
            </w:r>
          </w:p>
        </w:tc>
        <w:tc>
          <w:tcPr>
            <w:tcW w:type="dxa" w:w="6100"/>
            <w:tcMar>
              <w:top w:type="dxa" w:w="80"/>
              <w:left w:type="dxa" w:w="100"/>
              <w:bottom w:type="dxa" w:w="80"/>
              <w:right w:type="dxa" w:w="100"/>
            </w:tcMar>
          </w:tcPr>
          <w:p>
            <w:r>
              <w:rPr>
                <w:b w:val="false"/>
                <w:bCs w:val="false"/>
                <w:color w:val="333333"/>
                <w:sz w:val="19"/>
                <w:szCs w:val="19"/>
              </w:rPr>
              <w:t xml:space="preserve">Box H: dashboards / visualization</w:t>
            </w:r>
          </w:p>
        </w:tc>
        <w:tc>
          <w:tcPr>
            <w:tcW w:type="dxa" w:w="2700"/>
            <w:tcMar>
              <w:top w:type="dxa" w:w="80"/>
              <w:left w:type="dxa" w:w="100"/>
              <w:bottom w:type="dxa" w:w="80"/>
              <w:right w:type="dxa" w:w="100"/>
            </w:tcMar>
          </w:tcPr>
          <w:p>
            <w:r>
              <w:rPr>
                <w:b w:val="false"/>
                <w:bCs w:val="false"/>
                <w:color w:val="333333"/>
                <w:sz w:val="19"/>
                <w:szCs w:val="19"/>
              </w:rPr>
              <w:t xml:space="preserve">Steps 4–8</w:t>
            </w:r>
          </w:p>
        </w:tc>
      </w:tr>
      <w:tr>
        <w:tc>
          <w:tcPr>
            <w:tcW w:type="dxa" w:w="700"/>
            <w:shd w:fill="F7F7F7" w:val="clear"/>
            <w:tcMar>
              <w:top w:type="dxa" w:w="80"/>
              <w:left w:type="dxa" w:w="100"/>
              <w:bottom w:type="dxa" w:w="80"/>
              <w:right w:type="dxa" w:w="100"/>
            </w:tcMar>
          </w:tcPr>
          <w:p>
            <w:r>
              <w:rPr>
                <w:b w:val="false"/>
                <w:bCs w:val="false"/>
                <w:color w:val="333333"/>
                <w:sz w:val="19"/>
                <w:szCs w:val="19"/>
              </w:rPr>
              <w:t xml:space="preserve">10</w:t>
            </w:r>
          </w:p>
        </w:tc>
        <w:tc>
          <w:tcPr>
            <w:tcW w:type="dxa" w:w="6100"/>
            <w:shd w:fill="F7F7F7" w:val="clear"/>
            <w:tcMar>
              <w:top w:type="dxa" w:w="80"/>
              <w:left w:type="dxa" w:w="100"/>
              <w:bottom w:type="dxa" w:w="80"/>
              <w:right w:type="dxa" w:w="100"/>
            </w:tcMar>
          </w:tcPr>
          <w:p>
            <w:r>
              <w:rPr>
                <w:b w:val="false"/>
                <w:bCs w:val="false"/>
                <w:color w:val="333333"/>
                <w:sz w:val="19"/>
                <w:szCs w:val="19"/>
              </w:rPr>
              <w:t xml:space="preserve">Swap synthetic CSV for real Mininet/Ryu dataset once ready; retrain only</w:t>
            </w:r>
          </w:p>
        </w:tc>
        <w:tc>
          <w:tcPr>
            <w:tcW w:type="dxa" w:w="2700"/>
            <w:shd w:fill="F7F7F7" w:val="clear"/>
            <w:tcMar>
              <w:top w:type="dxa" w:w="80"/>
              <w:left w:type="dxa" w:w="100"/>
              <w:bottom w:type="dxa" w:w="80"/>
              <w:right w:type="dxa" w:w="100"/>
            </w:tcMar>
          </w:tcPr>
          <w:p>
            <w:r>
              <w:rPr>
                <w:b w:val="false"/>
                <w:bCs w:val="false"/>
                <w:color w:val="333333"/>
                <w:sz w:val="19"/>
                <w:szCs w:val="19"/>
              </w:rPr>
              <w:t xml:space="preserve">Steps 1–2 complete</w:t>
            </w:r>
          </w:p>
        </w:tc>
      </w:tr>
    </w:tbl>
    <w:p>
      <w:pPr>
        <w:spacing w:before="300"/>
      </w:pPr>
      <w:r>
        <w:rPr>
          <w:i/>
          <w:iCs/>
          <w:color w:val="999999"/>
          <w:sz w:val="18"/>
          <w:szCs w:val="18"/>
        </w:rPr>
        <w:t xml:space="preserve">End of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2026-08-02T06:41:25.612Z</dcterms:created>
  <dcterms:modified xsi:type="dcterms:W3CDTF">2026-08-02T06:41:25.624Z</dcterms:modified>
</cp:coreProperties>
</file>

<file path=docProps/custom.xml><?xml version="1.0" encoding="utf-8"?>
<Properties xmlns="http://schemas.openxmlformats.org/officeDocument/2006/custom-properties" xmlns:vt="http://schemas.openxmlformats.org/officeDocument/2006/docPropsVTypes"/>
</file>