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20E" w:rsidRDefault="0086120E">
      <w:r>
        <w:rPr>
          <w:noProof/>
          <w:lang w:eastAsia="en-IN"/>
        </w:rPr>
        <w:drawing>
          <wp:inline distT="0" distB="0" distL="0" distR="0">
            <wp:extent cx="5731510" cy="3938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pplementary Fig.1.tif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0E" w:rsidRDefault="0086120E"/>
    <w:p w:rsidR="0086120E" w:rsidRPr="00122316" w:rsidRDefault="0086120E" w:rsidP="0086120E">
      <w:pPr>
        <w:spacing w:line="480" w:lineRule="auto"/>
        <w:jc w:val="both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Supplementary </w:t>
      </w:r>
      <w:r w:rsidRPr="0039694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39694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(A)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Reference-based genome mapping of the transcriptome of </w:t>
      </w:r>
      <w:r w:rsidRPr="00873A1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R. alkalitoleran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</w:t>
      </w:r>
      <w:proofErr w:type="spellStart"/>
      <w:r w:rsidRPr="0039694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Blastochloris</w:t>
      </w:r>
      <w:proofErr w:type="spellEnd"/>
      <w:r w:rsidRPr="0039694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viridis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39694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R. azotoformans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39694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R. </w:t>
      </w:r>
      <w:proofErr w:type="spellStart"/>
      <w:r w:rsidRPr="0039694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sphaeroides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. (B) Principal component analysis of replicates of samples (1) 30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(3) 500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(4) 30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(6) 500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. (C) Correlation matrix analysis of replicates within and between the samples. (D) Differential expression statistics of transcripts showing the total number of transcripts, significantly expressed, upregulated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downregulated genes.</w:t>
      </w:r>
    </w:p>
    <w:p w:rsidR="0086120E" w:rsidRDefault="0086120E">
      <w:r>
        <w:rPr>
          <w:noProof/>
          <w:lang w:eastAsia="en-IN"/>
        </w:rPr>
        <w:lastRenderedPageBreak/>
        <w:drawing>
          <wp:inline distT="0" distB="0" distL="0" distR="0">
            <wp:extent cx="5731510" cy="61315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pplementary Fig.2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0E" w:rsidRDefault="0086120E"/>
    <w:p w:rsidR="0086120E" w:rsidRDefault="0086120E" w:rsidP="0086120E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 xml:space="preserve">Supplementary </w:t>
      </w:r>
      <w:r w:rsidRPr="0039694D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Figure</w: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 xml:space="preserve">. </w:t>
      </w:r>
      <w:r w:rsidRPr="0039694D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 xml:space="preserve">2: </w:t>
      </w:r>
      <w:r w:rsidRPr="003969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Heat map analysis of comparative pairs of  (A) 30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(1) vs 30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(4), (B) </w:t>
      </w:r>
      <w:r w:rsidRPr="003969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30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(1) vs 500</w:t>
      </w:r>
      <w:r w:rsidRPr="003969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(3), (C) 30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(4) vs 500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(6), (D) 500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(3) vs 500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6120E" w:rsidRDefault="0086120E">
      <w:r>
        <w:rPr>
          <w:noProof/>
          <w:lang w:eastAsia="en-IN"/>
        </w:rPr>
        <w:lastRenderedPageBreak/>
        <w:drawing>
          <wp:inline distT="0" distB="0" distL="0" distR="0">
            <wp:extent cx="5731510" cy="64363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pplementary Fig.3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0E" w:rsidRDefault="0086120E" w:rsidP="0086120E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Supplementary </w:t>
      </w:r>
      <w:r w:rsidRPr="0039694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3</w:t>
      </w:r>
      <w:r w:rsidRPr="0039694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Volcano plot showing the differentially upregulated and downregulated genes in </w:t>
      </w:r>
      <w:r w:rsidRPr="003969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comparative pairs of  (A) 30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vs 30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(B) </w:t>
      </w:r>
      <w:r w:rsidRPr="003969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30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vs 500</w:t>
      </w:r>
      <w:r w:rsidRPr="003969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="000F4275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="000F42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), 30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vs 500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, (D) 500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0" w:name="_GoBack"/>
      <w:bookmarkEnd w:id="0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vs 500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. Black indicates log2 fold change≥1 and p value≤0.05. “Red” dots indicate absolute log2 fold change≥1 and FDR/adjusted p value≤0.05.</w:t>
      </w:r>
      <w:r w:rsidRPr="00B0038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t xml:space="preserve"> </w:t>
      </w:r>
    </w:p>
    <w:p w:rsidR="0086120E" w:rsidRDefault="0086120E"/>
    <w:p w:rsidR="00373EAD" w:rsidRDefault="0086120E">
      <w:r>
        <w:rPr>
          <w:noProof/>
          <w:lang w:eastAsia="en-IN"/>
        </w:rPr>
        <w:drawing>
          <wp:inline distT="0" distB="0" distL="0" distR="0">
            <wp:extent cx="5731510" cy="48780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pplementary Fig.4.tif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0E" w:rsidRDefault="0086120E"/>
    <w:p w:rsidR="0086120E" w:rsidRDefault="0086120E" w:rsidP="0086120E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Supplementary </w:t>
      </w:r>
      <w:r w:rsidRPr="0039694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F4</w:t>
      </w:r>
      <w:r w:rsidRPr="0039694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Principal component analysis of the (PCA plot) of replicates obtained from GC-MS. (A) 30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VS 250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(B) 30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VS 500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(C) 30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VS 250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(D) 30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VS 500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. Principal component (PC) 1 is given on the x-axis, while PC2 is given on the y-axis of each plot. The per cent of variance explained by each PC is given below each PCA plot. 30 and 500 represent the culture growth light intensity in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6120E" w:rsidRDefault="0086120E"/>
    <w:sectPr w:rsidR="00861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928"/>
    <w:rsid w:val="000F4275"/>
    <w:rsid w:val="00373EAD"/>
    <w:rsid w:val="0086120E"/>
    <w:rsid w:val="00A93928"/>
    <w:rsid w:val="00F46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5E273"/>
  <w15:chartTrackingRefBased/>
  <w15:docId w15:val="{E0E849C6-A08A-441F-8170-EE5FBA862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</dc:creator>
  <cp:keywords/>
  <dc:description/>
  <cp:lastModifiedBy>YUSUF</cp:lastModifiedBy>
  <cp:revision>3</cp:revision>
  <dcterms:created xsi:type="dcterms:W3CDTF">2025-07-25T01:26:00Z</dcterms:created>
  <dcterms:modified xsi:type="dcterms:W3CDTF">2025-08-13T07:22:00Z</dcterms:modified>
</cp:coreProperties>
</file>