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My Factory MVP 0.1 — Harness Runtime / Plugin Track 独立开发任务书</w:t>
      </w:r>
    </w:p>
    <w:p>
      <w:pPr>
        <w:jc w:val="center"/>
      </w:pPr>
      <w:r>
        <w:rPr>
          <w:color w:val="5A5A5A"/>
          <w:sz w:val="22"/>
        </w:rPr>
        <w:t>Phase 1A/1B：基于已完成 DeepSeek Harness + Factory Tool POC 继续工程化</w:t>
      </w:r>
    </w:p>
    <w:p>
      <w:r>
        <w:t>文档定位：基于已完成独立 POC 的 Phase 1 延续开发任务书，可直接交给 Codex / ChatGPT Work 执行。</w:t>
      </w:r>
    </w:p>
    <w:p>
      <w:r>
        <w:t>共享前提：必须遵守《三并行开发 Track 共享集成规范》和《三重点工作目标与验收总指导》；本任务书不重复验证 POC 已证明的基础可行性。</w:t>
      </w:r>
    </w:p>
    <w:p>
      <w:pPr>
        <w:pStyle w:val="Heading1"/>
      </w:pPr>
      <w:r>
        <w:t>1. 当前起点与执行原则</w:t>
      </w:r>
    </w:p>
    <w:p>
      <w:r>
        <w:t>本任务以“DeepSeek Harness 工厂大脑与插件化 Runtime POC 已完成并通过独立验证”为起点。不得把主要工期重新用于复现 POC；如现有 POC 代码可获得，应优先审计并迁移其中已经验证通过的实现。若代码不可获得，才按 POC 结论重建最小等价实现。</w:t>
      </w:r>
    </w:p>
    <w:p>
      <w:r>
        <w:t>本阶段首先执行开源复用 Gate：任何通用能力在自研前，都必须检索成熟开源方案，并记录 Adopt / Reference / Reject、许可证、活跃度、锁定版本/commit 与理由。</w:t>
      </w:r>
    </w:p>
    <w:p>
      <w:pPr>
        <w:pStyle w:val="ListBullet"/>
      </w:pPr>
      <w:r>
        <w:t>优先许可证：MIT、Apache-2.0、BSD、PostgreSQL License。</w:t>
      </w:r>
    </w:p>
    <w:p>
      <w:pPr>
        <w:pStyle w:val="ListBullet"/>
      </w:pPr>
      <w:r>
        <w:t>AGPL、商业闭源核心、云平台强绑定、许可证不清晰的项目不得直接成为核心依赖。</w:t>
      </w:r>
    </w:p>
    <w:p>
      <w:pPr>
        <w:pStyle w:val="ListBullet"/>
      </w:pPr>
      <w:r>
        <w:t>所有依赖必须锁定版本或 commit；不使用 alpha/beta 作为默认生产基线。</w:t>
      </w:r>
    </w:p>
    <w:p>
      <w:pPr>
        <w:pStyle w:val="ListBullet"/>
      </w:pPr>
      <w:r>
        <w:t>不能因为其他 Track 尚未完成而停止开发，必须使用约定 Mock 独立运行。</w:t>
      </w:r>
    </w:p>
    <w:p>
      <w:pPr>
        <w:pStyle w:val="ListBullet"/>
      </w:pPr>
      <w:r>
        <w:t>禁止绕过共享集成边界建立临时直连。</w:t>
      </w:r>
    </w:p>
    <w:p>
      <w:pPr>
        <w:pStyle w:val="Heading1"/>
      </w:pPr>
      <w:r>
        <w:t>2. 角色与唯一职责</w:t>
      </w:r>
    </w:p>
    <w:p>
      <w:r>
        <w:t>Track：Harness Runtime / Plugin System</w:t>
      </w:r>
    </w:p>
    <w:p>
      <w:r>
        <w:t>唯一主责：负责“能力与执行”：Harness Adapter、Plugin Registry、Capability Discovery、Plugin Invocation、Execution Result/Trace、Data Contract Plugin 和第一批 Factory Plugins。</w:t>
      </w:r>
    </w:p>
    <w:p>
      <w:r>
        <w:t>明确不负责：</w:t>
      </w:r>
    </w:p>
    <w:p>
      <w:pPr>
        <w:pStyle w:val="ListBullet"/>
      </w:pPr>
      <w:r>
        <w:t>不实现 Frontend。</w:t>
      </w:r>
    </w:p>
    <w:p>
      <w:pPr>
        <w:pStyle w:val="ListBullet"/>
      </w:pPr>
      <w:r>
        <w:t>不拥有 My Factory Task 生命周期。</w:t>
      </w:r>
    </w:p>
    <w:p>
      <w:pPr>
        <w:pStyle w:val="ListBullet"/>
      </w:pPr>
      <w:r>
        <w:t>不直接写 Factory State/PostgreSQL。</w:t>
      </w:r>
    </w:p>
    <w:p>
      <w:pPr>
        <w:pStyle w:val="ListBullet"/>
      </w:pPr>
      <w:r>
        <w:t>不直接向 WebSocket 推送。</w:t>
      </w:r>
    </w:p>
    <w:p>
      <w:pPr>
        <w:pStyle w:val="ListBullet"/>
      </w:pPr>
      <w:r>
        <w:t>不把 LLM 作为所有任务的必经路径；确定性能力可直接执行 Plugin。</w:t>
      </w:r>
    </w:p>
    <w:p>
      <w:pPr>
        <w:pStyle w:val="Heading1"/>
      </w:pPr>
      <w:r>
        <w:t>3. 与其他 Track 的独立开发方式</w:t>
      </w:r>
    </w:p>
    <w:p>
      <w:r>
        <w:t>本 Track 必须在另外两个 Track 均不存在的情况下独立开发和验收。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D9EAF7"/>
            <w:vAlign w:val="center"/>
          </w:tcPr>
          <w:p>
            <w:r>
              <w:rPr>
                <w:b/>
              </w:rPr>
              <w:t>依赖方向</w:t>
            </w:r>
          </w:p>
        </w:tc>
        <w:tc>
          <w:tcPr>
            <w:tcW w:type="dxa" w:w="3389"/>
            <w:shd w:fill="D9EAF7"/>
            <w:vAlign w:val="center"/>
          </w:tcPr>
          <w:p>
            <w:r>
              <w:rPr>
                <w:b/>
              </w:rPr>
              <w:t>本阶段替代方式</w:t>
            </w:r>
          </w:p>
        </w:tc>
        <w:tc>
          <w:tcPr>
            <w:tcW w:type="dxa" w:w="3389"/>
            <w:shd w:fill="D9EAF7"/>
            <w:vAlign w:val="center"/>
          </w:tcPr>
          <w:p>
            <w:r>
              <w:rPr>
                <w:b/>
              </w:rPr>
              <w:t>融合时替换为</w:t>
            </w:r>
          </w:p>
        </w:tc>
      </w:tr>
      <w:tr>
        <w:tc>
          <w:tcPr>
            <w:tcW w:type="dxa" w:w="3389"/>
            <w:vAlign w:val="top"/>
          </w:tcPr>
          <w:p>
            <w:r>
              <w:t>Runtime ← Platform</w:t>
            </w:r>
          </w:p>
        </w:tc>
        <w:tc>
          <w:tcPr>
            <w:tcW w:type="dxa" w:w="3389"/>
            <w:vAlign w:val="top"/>
          </w:tcPr>
          <w:p>
            <w:r>
              <w:t>ExecutionRequest Fixture / CLI Test</w:t>
            </w:r>
          </w:p>
        </w:tc>
        <w:tc>
          <w:tcPr>
            <w:tcW w:type="dxa" w:w="3389"/>
            <w:vAlign w:val="top"/>
          </w:tcPr>
          <w:p>
            <w:r>
              <w:t>真实 Platform RuntimeClient 调用</w:t>
            </w:r>
          </w:p>
        </w:tc>
      </w:tr>
      <w:tr>
        <w:tc>
          <w:tcPr>
            <w:tcW w:type="dxa" w:w="3389"/>
            <w:vAlign w:val="top"/>
          </w:tcPr>
          <w:p>
            <w:r>
              <w:t>Runtime → Factory State</w:t>
            </w:r>
          </w:p>
        </w:tc>
        <w:tc>
          <w:tcPr>
            <w:tcW w:type="dxa" w:w="3389"/>
            <w:vAlign w:val="top"/>
          </w:tcPr>
          <w:p>
            <w:r>
              <w:t>只读 Fixture/Mock Context</w:t>
            </w:r>
          </w:p>
        </w:tc>
        <w:tc>
          <w:tcPr>
            <w:tcW w:type="dxa" w:w="3389"/>
            <w:vAlign w:val="top"/>
          </w:tcPr>
          <w:p>
            <w:r>
              <w:t>未来通过受控 Platform Context/API</w:t>
            </w:r>
          </w:p>
        </w:tc>
      </w:tr>
      <w:tr>
        <w:tc>
          <w:tcPr>
            <w:tcW w:type="dxa" w:w="3389"/>
            <w:vAlign w:val="top"/>
          </w:tcPr>
          <w:p>
            <w:r>
              <w:t>Runtime → Frontend</w:t>
            </w:r>
          </w:p>
        </w:tc>
        <w:tc>
          <w:tcPr>
            <w:tcW w:type="dxa" w:w="3389"/>
            <w:vAlign w:val="top"/>
          </w:tcPr>
          <w:p>
            <w:r>
              <w:t>禁止直连</w:t>
            </w:r>
          </w:p>
        </w:tc>
        <w:tc>
          <w:tcPr>
            <w:tcW w:type="dxa" w:w="3389"/>
            <w:vAlign w:val="top"/>
          </w:tcPr>
          <w:p>
            <w:r>
              <w:t>仍禁止直连，结果统一回 Platform</w:t>
            </w:r>
          </w:p>
        </w:tc>
      </w:tr>
    </w:tbl>
    <w:p>
      <w:pPr>
        <w:pStyle w:val="Heading1"/>
      </w:pPr>
      <w:r>
        <w:t>4. 融合边界</w:t>
      </w:r>
    </w:p>
    <w:p>
      <w:pPr>
        <w:pStyle w:val="ListBullet"/>
      </w:pPr>
      <w:r>
        <w:t>My Factory 依赖 Harness Adapter，而不是直接依赖 DeepSeek Harness 内部 API。</w:t>
      </w:r>
    </w:p>
    <w:p>
      <w:pPr>
        <w:pStyle w:val="ListBullet"/>
      </w:pPr>
      <w:r>
        <w:t>Plugin 通过 Registry 注册/发现/调用；业务层禁止直接 import 插件实现。</w:t>
      </w:r>
    </w:p>
    <w:p>
      <w:pPr>
        <w:pStyle w:val="ListBullet"/>
      </w:pPr>
      <w:r>
        <w:t>Capability 是对外稳定语义；具体 Plugin 名称、Harness profile、Cordis 实现不得泄露给 Frontend。</w:t>
      </w:r>
    </w:p>
    <w:p>
      <w:pPr>
        <w:pStyle w:val="ListBullet"/>
      </w:pPr>
      <w:r>
        <w:t>ExecutionResult/Trace 必须结构化并携带 task_id/execution_id。</w:t>
      </w:r>
    </w:p>
    <w:p>
      <w:pPr>
        <w:pStyle w:val="ListBullet"/>
      </w:pPr>
      <w:r>
        <w:t>Data Contract Plugin 是基础插件能力，只做注册/校验/转换/版本解析，不在本阶段冻结完整工厂业务 Schema。</w:t>
      </w:r>
    </w:p>
    <w:p>
      <w:pPr>
        <w:pStyle w:val="Heading1"/>
      </w:pPr>
      <w:r>
        <w:t>5. 开源复用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D9EAF7"/>
            <w:vAlign w:val="center"/>
          </w:tcPr>
          <w:p>
            <w:r>
              <w:rPr>
                <w:b/>
              </w:rPr>
              <w:t>能力</w:t>
            </w:r>
          </w:p>
        </w:tc>
        <w:tc>
          <w:tcPr>
            <w:tcW w:type="dxa" w:w="3389"/>
            <w:shd w:fill="D9EAF7"/>
            <w:vAlign w:val="center"/>
          </w:tcPr>
          <w:p>
            <w:r>
              <w:rPr>
                <w:b/>
              </w:rPr>
              <w:t>优先审查项目</w:t>
            </w:r>
          </w:p>
        </w:tc>
        <w:tc>
          <w:tcPr>
            <w:tcW w:type="dxa" w:w="3389"/>
            <w:shd w:fill="D9EAF7"/>
            <w:vAlign w:val="center"/>
          </w:tcPr>
          <w:p>
            <w:r>
              <w:rPr>
                <w:b/>
              </w:rPr>
              <w:t>默认决策方向</w:t>
            </w:r>
          </w:p>
        </w:tc>
      </w:tr>
      <w:tr>
        <w:tc>
          <w:tcPr>
            <w:tcW w:type="dxa" w:w="3389"/>
            <w:vAlign w:val="top"/>
          </w:tcPr>
          <w:p>
            <w:r>
              <w:t>Agent/Plugin Runtime</w:t>
            </w:r>
          </w:p>
        </w:tc>
        <w:tc>
          <w:tcPr>
            <w:tcW w:type="dxa" w:w="3389"/>
            <w:vAlign w:val="top"/>
          </w:tcPr>
          <w:p>
            <w:r>
              <w:t>deepseek-ai/deepseek-harness</w:t>
            </w:r>
          </w:p>
        </w:tc>
        <w:tc>
          <w:tcPr>
            <w:tcW w:type="dxa" w:w="3389"/>
            <w:vAlign w:val="top"/>
          </w:tcPr>
          <w:p>
            <w:r>
              <w:t>ADOPT，通过 Adapter 隔离</w:t>
            </w:r>
          </w:p>
        </w:tc>
      </w:tr>
      <w:tr>
        <w:tc>
          <w:tcPr>
            <w:tcW w:type="dxa" w:w="3389"/>
            <w:vAlign w:val="top"/>
          </w:tcPr>
          <w:p>
            <w:r>
              <w:t>Validation/Schema</w:t>
            </w:r>
          </w:p>
        </w:tc>
        <w:tc>
          <w:tcPr>
            <w:tcW w:type="dxa" w:w="3389"/>
            <w:vAlign w:val="top"/>
          </w:tcPr>
          <w:p>
            <w:r>
              <w:t>Pydantic / JSON Schema</w:t>
            </w:r>
          </w:p>
        </w:tc>
        <w:tc>
          <w:tcPr>
            <w:tcW w:type="dxa" w:w="3389"/>
            <w:vAlign w:val="top"/>
          </w:tcPr>
          <w:p>
            <w:r>
              <w:t>ADOPT</w:t>
            </w:r>
          </w:p>
        </w:tc>
      </w:tr>
      <w:tr>
        <w:tc>
          <w:tcPr>
            <w:tcW w:type="dxa" w:w="3389"/>
            <w:vAlign w:val="top"/>
          </w:tcPr>
          <w:p>
            <w:r>
              <w:t>Plugin protocol</w:t>
            </w:r>
          </w:p>
        </w:tc>
        <w:tc>
          <w:tcPr>
            <w:tcW w:type="dxa" w:w="3389"/>
            <w:vAlign w:val="top"/>
          </w:tcPr>
          <w:p>
            <w:r>
              <w:t>优先复用 Harness/Cordis 已有插件机制</w:t>
            </w:r>
          </w:p>
        </w:tc>
        <w:tc>
          <w:tcPr>
            <w:tcW w:type="dxa" w:w="3389"/>
            <w:vAlign w:val="top"/>
          </w:tcPr>
          <w:p>
            <w:r>
              <w:t>ADOPT/REFERENCE，不另造一套并行插件框架</w:t>
            </w:r>
          </w:p>
        </w:tc>
      </w:tr>
      <w:tr>
        <w:tc>
          <w:tcPr>
            <w:tcW w:type="dxa" w:w="3389"/>
            <w:vAlign w:val="top"/>
          </w:tcPr>
          <w:p>
            <w:r>
              <w:t>远程工具协议</w:t>
            </w:r>
          </w:p>
        </w:tc>
        <w:tc>
          <w:tcPr>
            <w:tcW w:type="dxa" w:w="3389"/>
            <w:vAlign w:val="top"/>
          </w:tcPr>
          <w:p>
            <w:r>
              <w:t>MCP</w:t>
            </w:r>
          </w:p>
        </w:tc>
        <w:tc>
          <w:tcPr>
            <w:tcW w:type="dxa" w:w="3389"/>
            <w:vAlign w:val="top"/>
          </w:tcPr>
          <w:p>
            <w:r>
              <w:t>REFERENCE；仅在跨进程/跨系统工具暴露有价值时引入</w:t>
            </w:r>
          </w:p>
        </w:tc>
      </w:tr>
      <w:tr>
        <w:tc>
          <w:tcPr>
            <w:tcW w:type="dxa" w:w="3389"/>
            <w:vAlign w:val="top"/>
          </w:tcPr>
          <w:p>
            <w:r>
              <w:t>代码沙箱</w:t>
            </w:r>
          </w:p>
        </w:tc>
        <w:tc>
          <w:tcPr>
            <w:tcW w:type="dxa" w:w="3389"/>
            <w:vAlign w:val="top"/>
          </w:tcPr>
          <w:p>
            <w:r>
              <w:t>成熟隔离方案需单独安全评审</w:t>
            </w:r>
          </w:p>
        </w:tc>
        <w:tc>
          <w:tcPr>
            <w:tcW w:type="dxa" w:w="3389"/>
            <w:vAlign w:val="top"/>
          </w:tcPr>
          <w:p>
            <w:r>
              <w:t>本阶段仅保留接口/受控 POC，不自称生产安全</w:t>
            </w:r>
          </w:p>
        </w:tc>
      </w:tr>
    </w:tbl>
    <w:p>
      <w:r>
        <w:t>必须产出 docs/track-runtime/open_source_review.md；特别记录 Harness 锁定 commit、SDK/profile 差异、第三方许可证和安全限制。</w:t>
      </w:r>
    </w:p>
    <w:p>
      <w:pPr>
        <w:pStyle w:val="Heading1"/>
      </w:pPr>
      <w:r>
        <w:t>6. 具体开发阶段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center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5083"/>
            <w:shd w:fill="D9EAF7"/>
            <w:vAlign w:val="center"/>
          </w:tcPr>
          <w:p>
            <w:r>
              <w:rPr>
                <w:b/>
              </w:rPr>
              <w:t>工作内容</w:t>
            </w:r>
          </w:p>
        </w:tc>
      </w:tr>
      <w:tr>
        <w:tc>
          <w:tcPr>
            <w:tcW w:type="dxa" w:w="5083"/>
            <w:vAlign w:val="top"/>
          </w:tcPr>
          <w:p>
            <w:r>
              <w:t>R0 现有 POC 审计</w:t>
            </w:r>
          </w:p>
        </w:tc>
        <w:tc>
          <w:tcPr>
            <w:tcW w:type="dxa" w:w="5083"/>
            <w:vAlign w:val="top"/>
          </w:tcPr>
          <w:p>
            <w:r>
              <w:t>定位 Harness POC；确认真实模型回合、Factory Tool 注册调用、任务轨迹等已验证代码；优先迁移 Adapter/Plugin 代码，不重复验证基础 SDK。</w:t>
            </w:r>
          </w:p>
        </w:tc>
      </w:tr>
      <w:tr>
        <w:tc>
          <w:tcPr>
            <w:tcW w:type="dxa" w:w="5083"/>
            <w:vAlign w:val="top"/>
          </w:tcPr>
          <w:p>
            <w:r>
              <w:t>R1 Harness Adapter</w:t>
            </w:r>
          </w:p>
        </w:tc>
        <w:tc>
          <w:tcPr>
            <w:tcW w:type="dxa" w:w="5083"/>
            <w:vAlign w:val="top"/>
          </w:tcPr>
          <w:p>
            <w:r>
              <w:t>建立 MyFactoryRuntimeAdapter；隔离 DeepSeek Harness profile/SDK/JSON-RPC 等实现细节。</w:t>
            </w:r>
          </w:p>
        </w:tc>
      </w:tr>
      <w:tr>
        <w:tc>
          <w:tcPr>
            <w:tcW w:type="dxa" w:w="5083"/>
            <w:vAlign w:val="top"/>
          </w:tcPr>
          <w:p>
            <w:r>
              <w:t>R2 Plugin Registry</w:t>
            </w:r>
          </w:p>
        </w:tc>
        <w:tc>
          <w:tcPr>
            <w:tcW w:type="dxa" w:w="5083"/>
            <w:vAlign w:val="top"/>
          </w:tcPr>
          <w:p>
            <w:r>
              <w:t>实现 Register/Discover/Invoke/Result/Error；Capability 与 Plugin 分离。</w:t>
            </w:r>
          </w:p>
        </w:tc>
      </w:tr>
      <w:tr>
        <w:tc>
          <w:tcPr>
            <w:tcW w:type="dxa" w:w="5083"/>
            <w:vAlign w:val="top"/>
          </w:tcPr>
          <w:p>
            <w:r>
              <w:t>R3 Execution Protocol</w:t>
            </w:r>
          </w:p>
        </w:tc>
        <w:tc>
          <w:tcPr>
            <w:tcW w:type="dxa" w:w="5083"/>
            <w:vAlign w:val="top"/>
          </w:tcPr>
          <w:p>
            <w:r>
              <w:t>定义内部 ExecutionRequest/ExecutionResult/ExecutionTrace 最小模型；保持 task_id/execution_id 贯穿。</w:t>
            </w:r>
          </w:p>
        </w:tc>
      </w:tr>
      <w:tr>
        <w:tc>
          <w:tcPr>
            <w:tcW w:type="dxa" w:w="5083"/>
            <w:vAlign w:val="top"/>
          </w:tcPr>
          <w:p>
            <w:r>
              <w:t>R4 Data Contract Plugin</w:t>
            </w:r>
          </w:p>
        </w:tc>
        <w:tc>
          <w:tcPr>
            <w:tcW w:type="dxa" w:w="5083"/>
            <w:vAlign w:val="top"/>
          </w:tcPr>
          <w:p>
            <w:r>
              <w:t>实现 register/validate/transform/resolve_version；只使用少量 Mock Contract 验证机制。</w:t>
            </w:r>
          </w:p>
        </w:tc>
      </w:tr>
      <w:tr>
        <w:tc>
          <w:tcPr>
            <w:tcW w:type="dxa" w:w="5083"/>
            <w:vAlign w:val="top"/>
          </w:tcPr>
          <w:p>
            <w:r>
              <w:t>R5 Factory Plugins</w:t>
            </w:r>
          </w:p>
        </w:tc>
        <w:tc>
          <w:tcPr>
            <w:tcW w:type="dxa" w:w="5083"/>
            <w:vAlign w:val="top"/>
          </w:tcPr>
          <w:p>
            <w:r>
              <w:t>实现 Inventory Mock Plugin、Equipment Mock Plugin；inventory.analyze 为首个联合 capability。</w:t>
            </w:r>
          </w:p>
        </w:tc>
      </w:tr>
      <w:tr>
        <w:tc>
          <w:tcPr>
            <w:tcW w:type="dxa" w:w="5083"/>
            <w:vAlign w:val="top"/>
          </w:tcPr>
          <w:p>
            <w:r>
              <w:t>R6 Deterministic vs Brain</w:t>
            </w:r>
          </w:p>
        </w:tc>
        <w:tc>
          <w:tcPr>
            <w:tcW w:type="dxa" w:w="5083"/>
            <w:vAlign w:val="top"/>
          </w:tcPr>
          <w:p>
            <w:r>
              <w:t>确定性调用允许直接 Plugin；需要推理/组合时再经过 Harness/Factory Brain。两种执行都输出一致 ExecutionResult。</w:t>
            </w:r>
          </w:p>
        </w:tc>
      </w:tr>
      <w:tr>
        <w:tc>
          <w:tcPr>
            <w:tcW w:type="dxa" w:w="5083"/>
            <w:vAlign w:val="top"/>
          </w:tcPr>
          <w:p>
            <w:r>
              <w:t>R7 Platform Handoff</w:t>
            </w:r>
          </w:p>
        </w:tc>
        <w:tc>
          <w:tcPr>
            <w:tcW w:type="dxa" w:w="5083"/>
            <w:vAlign w:val="top"/>
          </w:tcPr>
          <w:p>
            <w:r>
              <w:t>提供可被 Platform RuntimeClient 调用的稳定 service/API 或进程边界，并给出 Mock→Real 替换说明。</w:t>
            </w:r>
          </w:p>
        </w:tc>
      </w:tr>
    </w:tbl>
    <w:p>
      <w:pPr>
        <w:pStyle w:val="Heading1"/>
      </w:pPr>
      <w:r>
        <w:t>7. 首个 Capability</w:t>
      </w:r>
    </w:p>
    <w:p>
      <w:pPr>
        <w:pStyle w:val="NoSpacing"/>
        <w:spacing w:before="80" w:after="120"/>
        <w:ind w:left="360"/>
      </w:pPr>
      <w:r>
        <w:rPr>
          <w:rFonts w:ascii="Courier New" w:hAnsi="Courier New" w:eastAsia="Courier New"/>
          <w:sz w:val="18"/>
        </w:rPr>
        <w:t>capability: inventory.analyze</w:t>
        <w:br/>
      </w:r>
      <w:r>
        <w:rPr>
          <w:rFonts w:ascii="Courier New" w:hAnsi="Courier New" w:eastAsia="Courier New"/>
          <w:sz w:val="18"/>
        </w:rPr>
        <w:t>target: WH-001</w:t>
        <w:br/>
      </w:r>
      <w:r>
        <w:rPr>
          <w:rFonts w:ascii="Courier New" w:hAnsi="Courier New" w:eastAsia="Courier New"/>
          <w:sz w:val="18"/>
        </w:rPr>
        <w:t>context:</w:t>
        <w:br/>
      </w:r>
      <w:r>
        <w:rPr>
          <w:rFonts w:ascii="Courier New" w:hAnsi="Courier New" w:eastAsia="Courier New"/>
          <w:sz w:val="18"/>
        </w:rPr>
        <w:t xml:space="preserve">  material_id: MAT-001</w:t>
        <w:br/>
      </w:r>
      <w:r>
        <w:rPr>
          <w:rFonts w:ascii="Courier New" w:hAnsi="Courier New" w:eastAsia="Courier New"/>
          <w:sz w:val="18"/>
        </w:rPr>
        <w:t xml:space="preserve">  order_id: ORD-001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ExecutionRequest</w:t>
        <w:br/>
      </w:r>
      <w:r>
        <w:rPr>
          <w:rFonts w:ascii="Courier New" w:hAnsi="Courier New" w:eastAsia="Courier New"/>
          <w:sz w:val="18"/>
        </w:rPr>
        <w:t>→ Registry discovers capability</w:t>
        <w:br/>
      </w:r>
      <w:r>
        <w:rPr>
          <w:rFonts w:ascii="Courier New" w:hAnsi="Courier New" w:eastAsia="Courier New"/>
          <w:sz w:val="18"/>
        </w:rPr>
        <w:t>→ Inventory Plugin</w:t>
        <w:br/>
      </w:r>
      <w:r>
        <w:rPr>
          <w:rFonts w:ascii="Courier New" w:hAnsi="Courier New" w:eastAsia="Courier New"/>
          <w:sz w:val="18"/>
        </w:rPr>
        <w:t>→ structured result</w:t>
        <w:br/>
      </w:r>
      <w:r>
        <w:rPr>
          <w:rFonts w:ascii="Courier New" w:hAnsi="Courier New" w:eastAsia="Courier New"/>
          <w:sz w:val="18"/>
        </w:rPr>
        <w:t>→ ExecutionTrace</w:t>
        <w:br/>
      </w:r>
      <w:r>
        <w:rPr>
          <w:rFonts w:ascii="Courier New" w:hAnsi="Courier New" w:eastAsia="Courier New"/>
          <w:sz w:val="18"/>
        </w:rPr>
        <w:t>→ ExecutionResult</w:t>
        <w:br/>
      </w:r>
    </w:p>
    <w:p>
      <w:r>
        <w:t>第一阶段结果可以基于 Mock Fixture，不要求正式库存优化算法。数值计算必须由 Tool/Plugin 决定，不允许模型猜测。</w:t>
      </w:r>
    </w:p>
    <w:p>
      <w:pPr>
        <w:pStyle w:val="Heading1"/>
      </w:pPr>
      <w:r>
        <w:t>8. Data Contract Plugin 最小机制</w:t>
      </w:r>
    </w:p>
    <w:p>
      <w:pPr>
        <w:pStyle w:val="NoSpacing"/>
        <w:spacing w:before="80" w:after="120"/>
        <w:ind w:left="360"/>
      </w:pPr>
      <w:r>
        <w:rPr>
          <w:rFonts w:ascii="Courier New" w:hAnsi="Courier New" w:eastAsia="Courier New"/>
          <w:sz w:val="18"/>
        </w:rPr>
        <w:t>register(contract)</w:t>
        <w:br/>
      </w:r>
      <w:r>
        <w:rPr>
          <w:rFonts w:ascii="Courier New" w:hAnsi="Courier New" w:eastAsia="Courier New"/>
          <w:sz w:val="18"/>
        </w:rPr>
        <w:t>validate(contract_id, payload)</w:t>
        <w:br/>
      </w:r>
      <w:r>
        <w:rPr>
          <w:rFonts w:ascii="Courier New" w:hAnsi="Courier New" w:eastAsia="Courier New"/>
          <w:sz w:val="18"/>
        </w:rPr>
        <w:t>transform(source_contract, target_contract, payload)</w:t>
        <w:br/>
      </w:r>
      <w:r>
        <w:rPr>
          <w:rFonts w:ascii="Courier New" w:hAnsi="Courier New" w:eastAsia="Courier New"/>
          <w:sz w:val="18"/>
        </w:rPr>
        <w:t>resolve_version(contract_id, requested_version)</w:t>
        <w:br/>
      </w:r>
    </w:p>
    <w:p>
      <w:pPr>
        <w:pStyle w:val="ListBullet"/>
      </w:pPr>
      <w:r>
        <w:t>Frontend 不直接调用 Data Contract Plugin。</w:t>
      </w:r>
    </w:p>
    <w:p>
      <w:pPr>
        <w:pStyle w:val="ListBullet"/>
      </w:pPr>
      <w:r>
        <w:t>Platform/Runtime/External Adapter 可通过稳定接口使用其能力。</w:t>
      </w:r>
    </w:p>
    <w:p>
      <w:pPr>
        <w:pStyle w:val="ListBullet"/>
      </w:pPr>
      <w:r>
        <w:t>无匹配 Contract、版本冲突、转换失败必须结构化失败。</w:t>
      </w:r>
    </w:p>
    <w:p>
      <w:pPr>
        <w:pStyle w:val="ListBullet"/>
      </w:pPr>
      <w:r>
        <w:t>不在本阶段建立庞大的 Equipment/Inventory 全量 Schema。</w:t>
      </w:r>
    </w:p>
    <w:p>
      <w:pPr>
        <w:pStyle w:val="Heading1"/>
      </w:pPr>
      <w:r>
        <w:t>9. 自动测试与验收</w:t>
      </w:r>
    </w:p>
    <w:p>
      <w:pPr>
        <w:pStyle w:val="ListBullet"/>
      </w:pPr>
      <w:r>
        <w:t>Plugin Registry：注册、重复注册、发现、未找到 capability、调用成功/失败。</w:t>
      </w:r>
    </w:p>
    <w:p>
      <w:pPr>
        <w:pStyle w:val="ListBullet"/>
      </w:pPr>
      <w:r>
        <w:t>Inventory Plugin：正常分析、未知物料、非法参数。</w:t>
      </w:r>
    </w:p>
    <w:p>
      <w:pPr>
        <w:pStyle w:val="ListBullet"/>
      </w:pPr>
      <w:r>
        <w:t>Data Contract Plugin：validate/transform/version 成功与失败。</w:t>
      </w:r>
    </w:p>
    <w:p>
      <w:pPr>
        <w:pStyle w:val="ListBullet"/>
      </w:pPr>
      <w:r>
        <w:t>Harness Adapter：至少保留与已完成 POC 一致的真实 Harness 集成路径；若当前环境无凭据，不能伪造模型调用成功。</w:t>
      </w:r>
    </w:p>
    <w:p>
      <w:pPr>
        <w:pStyle w:val="ListBullet"/>
      </w:pPr>
      <w:r>
        <w:t>Execution Trace 包含 task_id、execution_id、capability、plugin、start/end/status/result/error。</w:t>
      </w:r>
    </w:p>
    <w:p>
      <w:pPr>
        <w:pStyle w:val="ListBullet"/>
      </w:pPr>
      <w:r>
        <w:t>Runtime 在没有 Frontend/Platform 的情况下可通过 Fixture/CLI 完成 inventory.analyze。</w:t>
      </w:r>
    </w:p>
    <w:p>
      <w:pPr>
        <w:pStyle w:val="ListBullet"/>
      </w:pPr>
      <w:r>
        <w:t>Plugin 不直接访问 Platform PostgreSQL。</w:t>
      </w:r>
    </w:p>
    <w:p>
      <w:pPr>
        <w:pStyle w:val="Heading1"/>
      </w:pPr>
      <w:r>
        <w:t>10. 交付物</w:t>
      </w:r>
    </w:p>
    <w:p>
      <w:pPr>
        <w:pStyle w:val="ListBullet"/>
      </w:pPr>
      <w:r>
        <w:t>Harness Adapter。</w:t>
      </w:r>
    </w:p>
    <w:p>
      <w:pPr>
        <w:pStyle w:val="ListBullet"/>
      </w:pPr>
      <w:r>
        <w:t>Plugin Registry / Capability Registry。</w:t>
      </w:r>
    </w:p>
    <w:p>
      <w:pPr>
        <w:pStyle w:val="ListBullet"/>
      </w:pPr>
      <w:r>
        <w:t>ExecutionRequest/Result/Trace 模型。</w:t>
      </w:r>
    </w:p>
    <w:p>
      <w:pPr>
        <w:pStyle w:val="ListBullet"/>
      </w:pPr>
      <w:r>
        <w:t>Data Contract Plugin。</w:t>
      </w:r>
    </w:p>
    <w:p>
      <w:pPr>
        <w:pStyle w:val="ListBullet"/>
      </w:pPr>
      <w:r>
        <w:t>Inventory / Equipment Mock Plugins。</w:t>
      </w:r>
    </w:p>
    <w:p>
      <w:pPr>
        <w:pStyle w:val="ListBullet"/>
      </w:pPr>
      <w:r>
        <w:t>Fixture 与独立测试。</w:t>
      </w:r>
    </w:p>
    <w:p>
      <w:pPr>
        <w:pStyle w:val="ListBullet"/>
      </w:pPr>
      <w:r>
        <w:t>docs/track-runtime/open_source_review.md。</w:t>
      </w:r>
    </w:p>
    <w:p>
      <w:pPr>
        <w:pStyle w:val="ListBullet"/>
      </w:pPr>
      <w:r>
        <w:t>docs/track-runtime/handoff_platform.md：调用方式、错误模型、生命周期、真实 Harness 启动/配置边界。</w:t>
      </w:r>
    </w:p>
    <w:p>
      <w:pPr>
        <w:pStyle w:val="Heading1"/>
      </w:pPr>
      <w:r>
        <w:t>11. Runtime Track PASS 标准</w:t>
      </w:r>
    </w:p>
    <w:p>
      <w:r>
        <w:t>无需 Frontend/Platform 即可通过标准 ExecutionRequest 完成 capability discovery → plugin invoke → structured result → execution trace；且 Platform 接入时只需替换 Fixture 调用入口，不重写 Runtime 业务，才判 PASS。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My Factory MVP 0.1 | Phase 1 Track Task 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