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53C7E">
      <w:pPr>
        <w:spacing w:after="312" w:afterLines="100" w:line="360" w:lineRule="exact"/>
        <w:jc w:val="center"/>
        <w:rPr>
          <w:rFonts w:asciiTheme="minorEastAsia" w:hAnsiTheme="minorEastAsia" w:eastAsiaTheme="minorEastAsia" w:cstheme="minorEastAsia"/>
          <w:b/>
          <w:sz w:val="32"/>
          <w:szCs w:val="32"/>
          <w:highlight w:val="none"/>
        </w:rPr>
      </w:pPr>
      <w:bookmarkStart w:id="0" w:name="OLE_LINK1"/>
      <w:r>
        <w:rPr>
          <w:rFonts w:hint="eastAsia" w:asciiTheme="minorEastAsia" w:hAnsiTheme="minorEastAsia" w:eastAsiaTheme="minorEastAsia" w:cstheme="minorEastAsia"/>
          <w:b/>
          <w:sz w:val="32"/>
          <w:szCs w:val="32"/>
          <w:highlight w:val="none"/>
        </w:rPr>
        <w:t>推广服务框架合同</w:t>
      </w:r>
    </w:p>
    <w:p w14:paraId="1ABCC203">
      <w:pPr>
        <w:adjustRightInd w:val="0"/>
        <w:snapToGrid w:val="0"/>
        <w:spacing w:line="360" w:lineRule="auto"/>
        <w:ind w:right="960"/>
        <w:jc w:val="center"/>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 xml:space="preserve">                                         </w:t>
      </w:r>
    </w:p>
    <w:p w14:paraId="03A439FB">
      <w:pPr>
        <w:spacing w:line="360" w:lineRule="auto"/>
        <w:ind w:left="1443" w:leftChars="228" w:hanging="964" w:hangingChars="400"/>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甲</w:t>
      </w:r>
      <w:r>
        <w:rPr>
          <w:rFonts w:hint="eastAsia" w:asciiTheme="minorEastAsia" w:hAnsiTheme="minorEastAsia" w:eastAsiaTheme="minorEastAsia" w:cstheme="minorEastAsia"/>
          <w:b/>
          <w:bCs/>
          <w:sz w:val="24"/>
          <w:szCs w:val="24"/>
          <w:highlight w:val="none"/>
        </w:rPr>
        <w:t xml:space="preserve">    方：</w:t>
      </w:r>
      <w:r>
        <w:rPr>
          <w:rFonts w:hint="eastAsia" w:asciiTheme="minorEastAsia" w:hAnsiTheme="minorEastAsia" w:eastAsiaTheme="minorEastAsia" w:cstheme="minorEastAsia"/>
          <w:b w:val="0"/>
          <w:bCs w:val="0"/>
          <w:sz w:val="24"/>
          <w:szCs w:val="24"/>
          <w:highlight w:val="none"/>
          <w:lang w:eastAsia="zh-CN"/>
        </w:rPr>
        <w:t>聚玩互动（武汉）传媒有限公司</w:t>
      </w:r>
    </w:p>
    <w:p w14:paraId="243F909B">
      <w:pPr>
        <w:spacing w:line="360" w:lineRule="auto"/>
        <w:ind w:left="1443" w:leftChars="228" w:hanging="964" w:hangingChars="40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bCs/>
          <w:sz w:val="24"/>
          <w:szCs w:val="24"/>
          <w:highlight w:val="none"/>
        </w:rPr>
        <w:t>地    址：</w:t>
      </w:r>
      <w:r>
        <w:rPr>
          <w:rFonts w:hint="eastAsia" w:asciiTheme="minorEastAsia" w:hAnsiTheme="minorEastAsia" w:eastAsiaTheme="minorEastAsia" w:cstheme="minorEastAsia"/>
          <w:sz w:val="24"/>
          <w:szCs w:val="24"/>
          <w:highlight w:val="none"/>
        </w:rPr>
        <w:t>湖北省武汉市洪山区友谊大道与纺织路交汇处万盈国际A座塔楼15-25层1523号</w:t>
      </w:r>
    </w:p>
    <w:p w14:paraId="12FFEE1E">
      <w:pPr>
        <w:spacing w:line="360" w:lineRule="auto"/>
        <w:ind w:left="1443" w:leftChars="228" w:hanging="964" w:hangingChars="400"/>
        <w:rPr>
          <w:rFonts w:hint="default"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法定代表人：</w:t>
      </w:r>
      <w:r>
        <w:rPr>
          <w:rFonts w:hint="eastAsia" w:asciiTheme="minorEastAsia" w:hAnsiTheme="minorEastAsia" w:eastAsiaTheme="minorEastAsia" w:cstheme="minorEastAsia"/>
          <w:b w:val="0"/>
          <w:bCs w:val="0"/>
          <w:sz w:val="24"/>
          <w:szCs w:val="24"/>
          <w:highlight w:val="none"/>
          <w:lang w:val="en-US" w:eastAsia="zh-CN"/>
        </w:rPr>
        <w:t>陶鹏程</w:t>
      </w:r>
    </w:p>
    <w:p w14:paraId="1803CAFE">
      <w:pPr>
        <w:spacing w:line="360" w:lineRule="auto"/>
        <w:ind w:firstLine="482" w:firstLineChars="200"/>
        <w:rPr>
          <w:rFonts w:hint="eastAsia" w:asciiTheme="minorEastAsia" w:hAnsiTheme="minorEastAsia" w:eastAsiaTheme="minorEastAsia" w:cstheme="minorEastAsia"/>
          <w:b/>
          <w:sz w:val="24"/>
          <w:highlight w:val="none"/>
        </w:rPr>
      </w:pPr>
    </w:p>
    <w:p w14:paraId="0C1D9B90">
      <w:pPr>
        <w:spacing w:line="360" w:lineRule="auto"/>
        <w:ind w:firstLine="482" w:firstLineChars="200"/>
        <w:rPr>
          <w:rFonts w:hint="default" w:asciiTheme="minorEastAsia" w:hAnsiTheme="minorEastAsia" w:eastAsiaTheme="minorEastAsia" w:cstheme="minorEastAsia"/>
          <w:b/>
          <w:sz w:val="24"/>
          <w:highlight w:val="none"/>
          <w:lang w:val="en-US" w:eastAsia="zh-CN"/>
        </w:rPr>
      </w:pPr>
      <w:r>
        <w:rPr>
          <w:rFonts w:hint="eastAsia" w:asciiTheme="minorEastAsia" w:hAnsiTheme="minorEastAsia" w:eastAsiaTheme="minorEastAsia" w:cstheme="minorEastAsia"/>
          <w:b/>
          <w:sz w:val="24"/>
          <w:highlight w:val="none"/>
          <w:lang w:val="en-US" w:eastAsia="zh-CN"/>
        </w:rPr>
        <w:t>乙</w:t>
      </w:r>
      <w:r>
        <w:rPr>
          <w:rFonts w:asciiTheme="minorEastAsia" w:hAnsiTheme="minorEastAsia" w:eastAsiaTheme="minorEastAsia" w:cstheme="minorEastAsia"/>
          <w:b/>
          <w:sz w:val="24"/>
          <w:highlight w:val="none"/>
        </w:rPr>
        <w:t xml:space="preserve">    </w:t>
      </w:r>
      <w:r>
        <w:rPr>
          <w:rFonts w:hint="eastAsia" w:asciiTheme="minorEastAsia" w:hAnsiTheme="minorEastAsia" w:eastAsiaTheme="minorEastAsia" w:cstheme="minorEastAsia"/>
          <w:b/>
          <w:sz w:val="24"/>
          <w:highlight w:val="none"/>
        </w:rPr>
        <w:t>方：</w:t>
      </w:r>
      <w:r>
        <w:rPr>
          <w:rFonts w:hint="eastAsia" w:asciiTheme="minorEastAsia" w:hAnsiTheme="minorEastAsia" w:eastAsiaTheme="minorEastAsia" w:cstheme="minorEastAsia"/>
          <w:b w:val="0"/>
          <w:bCs/>
          <w:sz w:val="24"/>
          <w:highlight w:val="none"/>
          <w:lang w:val="en-US" w:eastAsia="zh-CN"/>
        </w:rPr>
        <w:t>武汉鲜游科技有限公司</w:t>
      </w:r>
    </w:p>
    <w:p w14:paraId="09486B6C">
      <w:pPr>
        <w:spacing w:line="360" w:lineRule="auto"/>
        <w:ind w:left="1443" w:leftChars="228" w:hanging="964" w:hangingChars="400"/>
        <w:rPr>
          <w:rFonts w:hint="eastAsia" w:asciiTheme="minorEastAsia" w:hAnsiTheme="minorEastAsia" w:eastAsiaTheme="minorEastAsia" w:cstheme="minorEastAsia"/>
          <w:sz w:val="24"/>
          <w:highlight w:val="none"/>
          <w:lang w:eastAsia="zh-Hans"/>
        </w:rPr>
      </w:pPr>
      <w:r>
        <w:rPr>
          <w:rFonts w:hint="eastAsia" w:asciiTheme="minorEastAsia" w:hAnsiTheme="minorEastAsia" w:eastAsiaTheme="minorEastAsia" w:cstheme="minorEastAsia"/>
          <w:b/>
          <w:bCs/>
          <w:sz w:val="24"/>
          <w:highlight w:val="none"/>
        </w:rPr>
        <w:t>地</w:t>
      </w:r>
      <w:r>
        <w:rPr>
          <w:rFonts w:asciiTheme="minorEastAsia" w:hAnsiTheme="minorEastAsia" w:eastAsiaTheme="minorEastAsia" w:cstheme="minorEastAsia"/>
          <w:b/>
          <w:bCs/>
          <w:sz w:val="24"/>
          <w:highlight w:val="none"/>
        </w:rPr>
        <w:t xml:space="preserve">    </w:t>
      </w:r>
      <w:r>
        <w:rPr>
          <w:rFonts w:hint="eastAsia" w:asciiTheme="minorEastAsia" w:hAnsiTheme="minorEastAsia" w:eastAsiaTheme="minorEastAsia" w:cstheme="minorEastAsia"/>
          <w:b/>
          <w:bCs/>
          <w:sz w:val="24"/>
          <w:highlight w:val="none"/>
        </w:rPr>
        <w:t>址：</w:t>
      </w:r>
      <w:r>
        <w:rPr>
          <w:rFonts w:hint="eastAsia" w:asciiTheme="minorEastAsia" w:hAnsiTheme="minorEastAsia" w:eastAsiaTheme="minorEastAsia" w:cstheme="minorEastAsia"/>
          <w:sz w:val="24"/>
          <w:szCs w:val="24"/>
          <w:highlight w:val="none"/>
        </w:rPr>
        <w:t>湖北省武汉市洪山区洪山街野芷湖西路16号武汉创意天地三期创意工坊3号楼/单元1层3号</w:t>
      </w:r>
    </w:p>
    <w:bookmarkEnd w:id="0"/>
    <w:p w14:paraId="590C163E">
      <w:pPr>
        <w:spacing w:after="0" w:line="360" w:lineRule="auto"/>
        <w:ind w:firstLine="482" w:firstLineChars="200"/>
        <w:rPr>
          <w:rFonts w:hint="default" w:asciiTheme="minorEastAsia" w:hAnsiTheme="minorEastAsia" w:eastAsiaTheme="minorEastAsia" w:cstheme="minorEastAsia"/>
          <w:b/>
          <w:bCs/>
          <w:sz w:val="24"/>
          <w:highlight w:val="none"/>
          <w:lang w:val="en-US" w:eastAsia="zh-CN"/>
        </w:rPr>
      </w:pPr>
      <w:r>
        <w:rPr>
          <w:rFonts w:hint="eastAsia" w:asciiTheme="minorEastAsia" w:hAnsiTheme="minorEastAsia" w:eastAsiaTheme="minorEastAsia" w:cstheme="minorEastAsia"/>
          <w:b/>
          <w:bCs/>
          <w:sz w:val="24"/>
          <w:highlight w:val="none"/>
          <w:lang w:val="en-US" w:eastAsia="zh-CN"/>
        </w:rPr>
        <w:t>法定代表人：</w:t>
      </w:r>
      <w:r>
        <w:rPr>
          <w:rFonts w:hint="eastAsia" w:asciiTheme="minorEastAsia" w:hAnsiTheme="minorEastAsia" w:eastAsiaTheme="minorEastAsia" w:cstheme="minorEastAsia"/>
          <w:b w:val="0"/>
          <w:bCs w:val="0"/>
          <w:sz w:val="24"/>
          <w:highlight w:val="none"/>
          <w:lang w:val="en-US" w:eastAsia="zh-CN"/>
        </w:rPr>
        <w:t>张酉亮</w:t>
      </w:r>
    </w:p>
    <w:p w14:paraId="7E8AA794">
      <w:pPr>
        <w:spacing w:after="0" w:line="360" w:lineRule="auto"/>
        <w:ind w:firstLine="480" w:firstLineChars="200"/>
        <w:rPr>
          <w:rFonts w:hint="eastAsia" w:asciiTheme="minorEastAsia" w:hAnsiTheme="minorEastAsia" w:eastAsiaTheme="minorEastAsia" w:cstheme="minorEastAsia"/>
          <w:sz w:val="24"/>
          <w:highlight w:val="none"/>
          <w:lang w:val="en-US" w:eastAsia="zh-CN"/>
        </w:rPr>
      </w:pPr>
    </w:p>
    <w:p w14:paraId="2063EC08">
      <w:pPr>
        <w:spacing w:after="156" w:line="440" w:lineRule="exact"/>
        <w:ind w:firstLine="48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甲、乙双方本着平等互利、诚实守信的原则，根据《中华人民共和国民法典》及相关法律、法规之规定，经友好协商，就乙方</w:t>
      </w:r>
      <w:bookmarkStart w:id="1" w:name="_GoBack"/>
      <w:bookmarkEnd w:id="1"/>
      <w:r>
        <w:rPr>
          <w:rFonts w:hint="eastAsia" w:asciiTheme="minorEastAsia" w:hAnsiTheme="minorEastAsia" w:eastAsiaTheme="minorEastAsia" w:cstheme="minorEastAsia"/>
          <w:sz w:val="24"/>
          <w:highlight w:val="none"/>
        </w:rPr>
        <w:t>为甲方提供推广服务</w:t>
      </w:r>
      <w:r>
        <w:rPr>
          <w:rFonts w:hint="eastAsia" w:asciiTheme="minorEastAsia" w:hAnsiTheme="minorEastAsia" w:eastAsiaTheme="minorEastAsia" w:cstheme="minorEastAsia"/>
          <w:sz w:val="24"/>
          <w:highlight w:val="none"/>
          <w:lang w:eastAsia="zh-CN"/>
        </w:rPr>
        <w:t>，</w:t>
      </w:r>
      <w:r>
        <w:rPr>
          <w:rFonts w:hint="eastAsia" w:ascii="宋体" w:hAnsi="宋体" w:cs="宋体"/>
          <w:sz w:val="24"/>
          <w:szCs w:val="24"/>
          <w:highlight w:val="none"/>
          <w:lang w:val="en-US" w:eastAsia="zh-CN"/>
        </w:rPr>
        <w:t>乙方</w:t>
      </w:r>
      <w:r>
        <w:rPr>
          <w:rFonts w:hint="eastAsia" w:ascii="宋体" w:hAnsi="宋体" w:eastAsia="宋体" w:cs="宋体"/>
          <w:sz w:val="24"/>
          <w:szCs w:val="24"/>
          <w:highlight w:val="none"/>
        </w:rPr>
        <w:t>委托</w:t>
      </w:r>
      <w:r>
        <w:rPr>
          <w:rFonts w:hint="eastAsia" w:ascii="宋体" w:hAnsi="宋体" w:cs="宋体"/>
          <w:sz w:val="24"/>
          <w:szCs w:val="24"/>
          <w:highlight w:val="none"/>
          <w:lang w:eastAsia="zh-CN"/>
        </w:rPr>
        <w:t>甲方</w:t>
      </w:r>
      <w:r>
        <w:rPr>
          <w:rFonts w:hint="eastAsia" w:ascii="宋体" w:hAnsi="宋体" w:eastAsia="宋体" w:cs="宋体"/>
          <w:sz w:val="24"/>
          <w:szCs w:val="24"/>
          <w:highlight w:val="none"/>
        </w:rPr>
        <w:t>为</w:t>
      </w:r>
      <w:r>
        <w:rPr>
          <w:rFonts w:hint="eastAsia" w:ascii="宋体" w:hAnsi="宋体" w:cs="宋体"/>
          <w:sz w:val="24"/>
          <w:szCs w:val="24"/>
          <w:highlight w:val="none"/>
          <w:lang w:eastAsia="zh-CN"/>
        </w:rPr>
        <w:t>乙方</w:t>
      </w:r>
      <w:r>
        <w:rPr>
          <w:rFonts w:hint="eastAsia" w:ascii="宋体" w:hAnsi="宋体" w:eastAsia="宋体" w:cs="宋体"/>
          <w:sz w:val="24"/>
          <w:szCs w:val="24"/>
          <w:highlight w:val="none"/>
          <w:lang w:eastAsia="zh-CN"/>
        </w:rPr>
        <w:t>在</w:t>
      </w:r>
      <w:r>
        <w:rPr>
          <w:rFonts w:hint="eastAsia" w:ascii="宋体" w:hAnsi="宋体" w:cs="宋体"/>
          <w:sz w:val="24"/>
          <w:szCs w:val="24"/>
          <w:highlight w:val="none"/>
          <w:lang w:val="en-US" w:eastAsia="zh-CN"/>
        </w:rPr>
        <w:t>巨量星图、巨量引擎、磁力巨星</w:t>
      </w:r>
      <w:r>
        <w:rPr>
          <w:rFonts w:hint="eastAsia" w:ascii="宋体" w:hAnsi="宋体" w:eastAsia="宋体" w:cs="宋体"/>
          <w:sz w:val="24"/>
          <w:szCs w:val="24"/>
          <w:highlight w:val="none"/>
          <w:lang w:eastAsia="zh-CN"/>
        </w:rPr>
        <w:t>媒体平台</w:t>
      </w:r>
      <w:r>
        <w:rPr>
          <w:rFonts w:hint="eastAsia" w:ascii="宋体" w:hAnsi="宋体" w:eastAsia="宋体" w:cs="宋体"/>
          <w:sz w:val="24"/>
          <w:szCs w:val="24"/>
          <w:highlight w:val="none"/>
        </w:rPr>
        <w:t>提供代充值服务</w:t>
      </w:r>
      <w:r>
        <w:rPr>
          <w:rFonts w:hint="eastAsia" w:ascii="宋体" w:hAnsi="宋体" w:cs="宋体"/>
          <w:sz w:val="24"/>
          <w:szCs w:val="24"/>
          <w:highlight w:val="none"/>
          <w:lang w:val="en-US" w:eastAsia="zh-CN"/>
        </w:rPr>
        <w:t>事宜</w:t>
      </w:r>
      <w:r>
        <w:rPr>
          <w:rFonts w:hint="eastAsia" w:ascii="宋体" w:hAnsi="宋体" w:cs="宋体"/>
          <w:sz w:val="24"/>
          <w:szCs w:val="24"/>
          <w:highlight w:val="none"/>
          <w:lang w:eastAsia="zh-CN"/>
        </w:rPr>
        <w:t>，</w:t>
      </w:r>
      <w:r>
        <w:rPr>
          <w:rFonts w:hint="eastAsia" w:asciiTheme="minorEastAsia" w:hAnsiTheme="minorEastAsia" w:eastAsiaTheme="minorEastAsia" w:cstheme="minorEastAsia"/>
          <w:sz w:val="24"/>
          <w:highlight w:val="none"/>
        </w:rPr>
        <w:t>签订本合同，以资共同遵守。</w:t>
      </w:r>
    </w:p>
    <w:p w14:paraId="26BA8DAA">
      <w:pPr>
        <w:spacing w:after="156" w:line="440" w:lineRule="exact"/>
        <w:ind w:firstLine="480"/>
        <w:rPr>
          <w:highlight w:val="none"/>
        </w:rPr>
      </w:pPr>
      <w:r>
        <w:rPr>
          <w:rFonts w:hint="eastAsia" w:asciiTheme="minorEastAsia" w:hAnsiTheme="minorEastAsia" w:eastAsiaTheme="minorEastAsia" w:cstheme="minorEastAsia"/>
          <w:sz w:val="24"/>
          <w:highlight w:val="none"/>
        </w:rPr>
        <w:t>本协议由甲乙双方于【</w:t>
      </w:r>
      <w:r>
        <w:rPr>
          <w:rFonts w:hint="eastAsia" w:asciiTheme="minorEastAsia" w:hAnsiTheme="minorEastAsia" w:eastAsiaTheme="minorEastAsia" w:cstheme="minorEastAsia"/>
          <w:sz w:val="24"/>
          <w:highlight w:val="none"/>
          <w:lang w:val="en-US" w:eastAsia="zh-CN"/>
        </w:rPr>
        <w:t>2024</w:t>
      </w:r>
      <w:r>
        <w:rPr>
          <w:rFonts w:hint="eastAsia" w:asciiTheme="minorEastAsia" w:hAnsiTheme="minorEastAsia" w:eastAsiaTheme="minorEastAsia" w:cstheme="minorEastAsia"/>
          <w:sz w:val="24"/>
          <w:highlight w:val="none"/>
        </w:rPr>
        <w:t>】年【</w:t>
      </w:r>
      <w:r>
        <w:rPr>
          <w:rFonts w:hint="eastAsia" w:asciiTheme="minorEastAsia" w:hAnsiTheme="minorEastAsia" w:eastAsiaTheme="minorEastAsia" w:cstheme="minorEastAsia"/>
          <w:sz w:val="24"/>
          <w:highlight w:val="none"/>
          <w:lang w:val="en-US" w:eastAsia="zh-CN"/>
        </w:rPr>
        <w:t>12</w:t>
      </w:r>
      <w:r>
        <w:rPr>
          <w:rFonts w:hint="eastAsia" w:asciiTheme="minorEastAsia" w:hAnsiTheme="minorEastAsia" w:eastAsiaTheme="minorEastAsia" w:cstheme="minorEastAsia"/>
          <w:sz w:val="24"/>
          <w:highlight w:val="none"/>
        </w:rPr>
        <w:t>】月【</w:t>
      </w:r>
      <w:r>
        <w:rPr>
          <w:rFonts w:hint="eastAsia" w:asciiTheme="minorEastAsia" w:hAnsiTheme="minorEastAsia" w:eastAsiaTheme="minorEastAsia" w:cstheme="minorEastAsia"/>
          <w:sz w:val="24"/>
          <w:highlight w:val="none"/>
          <w:lang w:val="en-US" w:eastAsia="zh-CN"/>
        </w:rPr>
        <w:t>13</w:t>
      </w:r>
      <w:r>
        <w:rPr>
          <w:rFonts w:hint="eastAsia" w:asciiTheme="minorEastAsia" w:hAnsiTheme="minorEastAsia" w:eastAsiaTheme="minorEastAsia" w:cstheme="minorEastAsia"/>
          <w:sz w:val="24"/>
          <w:highlight w:val="none"/>
        </w:rPr>
        <w:t>】</w:t>
      </w:r>
      <w:r>
        <w:rPr>
          <w:rFonts w:hint="eastAsia" w:asciiTheme="minorEastAsia" w:hAnsiTheme="minorEastAsia" w:eastAsiaTheme="minorEastAsia" w:cstheme="minorEastAsia"/>
          <w:sz w:val="24"/>
          <w:highlight w:val="none"/>
        </w:rPr>
        <w:t>日在</w:t>
      </w:r>
      <w:r>
        <w:rPr>
          <w:rFonts w:hint="eastAsia" w:asciiTheme="minorEastAsia" w:hAnsiTheme="minorEastAsia" w:eastAsiaTheme="minorEastAsia" w:cstheme="minorEastAsia"/>
          <w:sz w:val="24"/>
          <w:highlight w:val="none"/>
          <w:lang w:val="en-US" w:eastAsia="zh-CN"/>
        </w:rPr>
        <w:t>武汉市洪山区</w:t>
      </w:r>
      <w:r>
        <w:rPr>
          <w:rFonts w:hint="eastAsia" w:asciiTheme="minorEastAsia" w:hAnsiTheme="minorEastAsia" w:eastAsiaTheme="minorEastAsia" w:cstheme="minorEastAsia"/>
          <w:sz w:val="24"/>
          <w:highlight w:val="none"/>
        </w:rPr>
        <w:t>签订。</w:t>
      </w:r>
    </w:p>
    <w:p w14:paraId="31CD38B9">
      <w:pPr>
        <w:pStyle w:val="14"/>
        <w:numPr>
          <w:ilvl w:val="0"/>
          <w:numId w:val="1"/>
        </w:numPr>
        <w:adjustRightInd w:val="0"/>
        <w:snapToGrid w:val="0"/>
        <w:spacing w:before="156" w:beforeLines="50" w:after="156" w:afterLines="50" w:line="440" w:lineRule="exact"/>
        <w:ind w:left="840" w:hanging="420" w:firstLineChars="0"/>
        <w:rPr>
          <w:rFonts w:asciiTheme="minorEastAsia" w:hAnsiTheme="minorEastAsia" w:eastAsiaTheme="minorEastAsia" w:cstheme="minorEastAsia"/>
          <w:b/>
          <w:sz w:val="24"/>
          <w:highlight w:val="none"/>
        </w:rPr>
      </w:pPr>
      <w:r>
        <w:rPr>
          <w:rFonts w:hint="eastAsia" w:asciiTheme="minorEastAsia" w:hAnsiTheme="minorEastAsia" w:eastAsiaTheme="minorEastAsia" w:cstheme="minorEastAsia"/>
          <w:b/>
          <w:sz w:val="24"/>
          <w:highlight w:val="none"/>
        </w:rPr>
        <w:t>释义</w:t>
      </w:r>
    </w:p>
    <w:p w14:paraId="06FA2CAF">
      <w:pPr>
        <w:adjustRightInd w:val="0"/>
        <w:snapToGrid w:val="0"/>
        <w:spacing w:line="440" w:lineRule="exact"/>
        <w:ind w:left="822"/>
        <w:rPr>
          <w:rFonts w:asciiTheme="minorEastAsia" w:hAnsiTheme="minorEastAsia" w:eastAsiaTheme="minorEastAsia" w:cstheme="minorEastAsia"/>
          <w:sz w:val="24"/>
          <w:szCs w:val="22"/>
          <w:highlight w:val="none"/>
        </w:rPr>
      </w:pPr>
      <w:r>
        <w:rPr>
          <w:rFonts w:hint="eastAsia" w:asciiTheme="minorEastAsia" w:hAnsiTheme="minorEastAsia" w:eastAsiaTheme="minorEastAsia" w:cstheme="minorEastAsia"/>
          <w:color w:val="000000"/>
          <w:sz w:val="24"/>
          <w:highlight w:val="none"/>
        </w:rPr>
        <w:t>除非另有约定，下列用语在本合同中具有如下含义：</w:t>
      </w:r>
    </w:p>
    <w:p w14:paraId="011988D6">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如无特别说明，“本合同”指包括《推广服务框架合同》及其附件、补充协议等在内的全部相关文件。</w:t>
      </w:r>
    </w:p>
    <w:p w14:paraId="4EC2092A">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“推广项目”或“项目”指甲方拟委托乙方</w:t>
      </w:r>
      <w:r>
        <w:rPr>
          <w:rFonts w:hint="eastAsia" w:asciiTheme="minorEastAsia" w:hAnsiTheme="minorEastAsia" w:eastAsiaTheme="minorEastAsia" w:cstheme="minorEastAsia"/>
          <w:sz w:val="24"/>
          <w:szCs w:val="24"/>
          <w:highlight w:val="none"/>
          <w:lang w:val="zh-CN"/>
        </w:rPr>
        <w:t>提供推广</w:t>
      </w:r>
      <w:r>
        <w:rPr>
          <w:rFonts w:hint="eastAsia" w:asciiTheme="minorEastAsia" w:hAnsiTheme="minorEastAsia" w:eastAsiaTheme="minorEastAsia" w:cstheme="minorEastAsia"/>
          <w:sz w:val="24"/>
          <w:szCs w:val="24"/>
          <w:highlight w:val="none"/>
          <w:lang w:val="zh-TW"/>
        </w:rPr>
        <w:t>服务</w:t>
      </w:r>
      <w:r>
        <w:rPr>
          <w:rFonts w:hint="eastAsia" w:asciiTheme="minorEastAsia" w:hAnsiTheme="minorEastAsia" w:eastAsiaTheme="minorEastAsia" w:cstheme="minorEastAsia"/>
          <w:sz w:val="24"/>
          <w:highlight w:val="none"/>
        </w:rPr>
        <w:t>的品牌、产品或服务。</w:t>
      </w:r>
    </w:p>
    <w:p w14:paraId="0DECFC16">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“推广服务”或“服务”指乙方受甲方委托，以宣传甲方品牌、产品或服务为目的而开展的活动（包括但不限于短视频制作、直播推广服务等）。</w:t>
      </w:r>
    </w:p>
    <w:p w14:paraId="75D35CB5">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color w:val="000000"/>
          <w:sz w:val="24"/>
          <w:szCs w:val="24"/>
          <w:highlight w:val="none"/>
        </w:rPr>
        <w:t>“推广平台”</w:t>
      </w:r>
      <w:r>
        <w:rPr>
          <w:rFonts w:hint="eastAsia" w:asciiTheme="minorEastAsia" w:hAnsiTheme="minorEastAsia" w:eastAsiaTheme="minorEastAsia" w:cstheme="minorEastAsia"/>
          <w:sz w:val="24"/>
          <w:highlight w:val="none"/>
        </w:rPr>
        <w:t>指乙方拥有或取得合法授权的，提供推广服务所依托的媒介、渠道，如抖音、快手等；与推广平台相关联的下单网站，如与抖音关联的星图平台，与快手关联的快接单平台等，称为“下单平台”。</w:t>
      </w:r>
    </w:p>
    <w:p w14:paraId="4C8853C3">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“素材”指乙方提供推广服务所使用的所有工具材料，包括但不限于文本、图形、图像、动画、视频、音频等。</w:t>
      </w:r>
    </w:p>
    <w:p w14:paraId="433F0CE5">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“基础材料”指与推广项目相关的文件、数据、信息等，是乙方了解甲方产品或服务、提供推广服务所依托的原始材料。</w:t>
      </w:r>
    </w:p>
    <w:p w14:paraId="6262BA22">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“书面形式”或“书面”指包括以本合同开头处约定的地址、邮箱、微信号通过纸质文件、电子邮件、微信（群）聊天的有形表现所载内容的形式。</w:t>
      </w:r>
    </w:p>
    <w:p w14:paraId="31580F7F">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CPT：(Cost-per-Time)以时间单位计费的计算模式，即根据每天对推广产品在特定的位置展示来定价的模式。</w:t>
      </w:r>
    </w:p>
    <w:p w14:paraId="5EC5A33E">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CPA：(Cost-per-Action)以激活安装次数计费的计算模式。即用户通过乙方推广成功安装合作产品至用户的手机终端上，每个有效安装激活都产生一个有效的CPA。</w:t>
      </w:r>
    </w:p>
    <w:p w14:paraId="1274643F">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CPM：（Cost-per-Mille)是按千次展示计费的计算模式。结算数据以乙方提供的为准。</w:t>
      </w:r>
    </w:p>
    <w:p w14:paraId="2E358657">
      <w:pPr>
        <w:pStyle w:val="14"/>
        <w:numPr>
          <w:ilvl w:val="1"/>
          <w:numId w:val="1"/>
        </w:numPr>
        <w:adjustRightInd w:val="0"/>
        <w:snapToGrid w:val="0"/>
        <w:spacing w:line="440" w:lineRule="exact"/>
        <w:ind w:left="1276" w:hanging="454" w:firstLineChars="0"/>
        <w:rPr>
          <w:rFonts w:ascii="宋体" w:hAnsi="宋体" w:cs="宋体"/>
          <w:sz w:val="24"/>
          <w:szCs w:val="24"/>
          <w:highlight w:val="none"/>
        </w:rPr>
      </w:pPr>
      <w:r>
        <w:rPr>
          <w:rStyle w:val="9"/>
          <w:rFonts w:hint="eastAsia" w:ascii="宋体" w:hAnsi="宋体" w:cs="宋体"/>
          <w:i w:val="0"/>
          <w:iCs w:val="0"/>
          <w:color w:val="000000" w:themeColor="text1"/>
          <w:sz w:val="24"/>
          <w:szCs w:val="24"/>
          <w:highlight w:val="none"/>
          <w:shd w:val="clear" w:color="auto" w:fill="FFFFFF"/>
          <w14:textFill>
            <w14:solidFill>
              <w14:schemeClr w14:val="tx1"/>
            </w14:solidFill>
          </w14:textFill>
        </w:rPr>
        <w:t>CPS：</w:t>
      </w:r>
      <w:r>
        <w:rPr>
          <w:rFonts w:hint="eastAsia" w:ascii="宋体" w:hAnsi="宋体" w:cs="宋体"/>
          <w:color w:val="333333"/>
          <w:sz w:val="24"/>
          <w:szCs w:val="24"/>
          <w:highlight w:val="none"/>
          <w:shd w:val="clear" w:color="auto" w:fill="FFFFFF"/>
        </w:rPr>
        <w:t>（ Cost Per Sales）是按照游戏充值流水分成的计算模式。结算数据以甲方提供的为准。</w:t>
      </w:r>
    </w:p>
    <w:p w14:paraId="4636245C">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szCs w:val="24"/>
          <w:highlight w:val="none"/>
          <w:lang w:val="zh-TW"/>
        </w:rPr>
      </w:pPr>
      <w:r>
        <w:rPr>
          <w:rFonts w:hint="eastAsia" w:asciiTheme="minorEastAsia" w:hAnsiTheme="minorEastAsia" w:eastAsiaTheme="minorEastAsia" w:cstheme="minorEastAsia"/>
          <w:sz w:val="24"/>
          <w:szCs w:val="24"/>
          <w:highlight w:val="none"/>
          <w:lang w:val="zh-TW"/>
        </w:rPr>
        <w:t>“法律法规”均指中华人民共和国（不含港、澳、台地区）法律法规。</w:t>
      </w:r>
    </w:p>
    <w:p w14:paraId="0C808A7F">
      <w:pPr>
        <w:pStyle w:val="14"/>
        <w:numPr>
          <w:ilvl w:val="1"/>
          <w:numId w:val="1"/>
        </w:numPr>
        <w:adjustRightInd w:val="0"/>
        <w:snapToGrid w:val="0"/>
        <w:spacing w:line="440" w:lineRule="exact"/>
        <w:ind w:left="1361" w:hanging="539"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szCs w:val="24"/>
          <w:highlight w:val="none"/>
          <w:lang w:val="zh-TW"/>
        </w:rPr>
        <w:t>除非</w:t>
      </w:r>
      <w:r>
        <w:rPr>
          <w:rFonts w:hint="eastAsia" w:asciiTheme="minorEastAsia" w:hAnsiTheme="minorEastAsia" w:eastAsiaTheme="minorEastAsia" w:cstheme="minorEastAsia"/>
          <w:sz w:val="24"/>
          <w:highlight w:val="none"/>
        </w:rPr>
        <w:t>另有约定，本合同项下所涉货币单位均指人民币，所有月日期均指公历日期。</w:t>
      </w:r>
    </w:p>
    <w:p w14:paraId="606D6F29">
      <w:pPr>
        <w:pStyle w:val="14"/>
        <w:numPr>
          <w:ilvl w:val="0"/>
          <w:numId w:val="1"/>
        </w:numPr>
        <w:adjustRightInd w:val="0"/>
        <w:snapToGrid w:val="0"/>
        <w:spacing w:before="156" w:beforeLines="50" w:after="156" w:afterLines="50" w:line="440" w:lineRule="exact"/>
        <w:ind w:left="840" w:hanging="420" w:firstLineChars="0"/>
        <w:rPr>
          <w:rFonts w:asciiTheme="minorEastAsia" w:hAnsiTheme="minorEastAsia" w:eastAsiaTheme="minorEastAsia" w:cstheme="minorEastAsia"/>
          <w:b/>
          <w:sz w:val="24"/>
          <w:highlight w:val="none"/>
        </w:rPr>
      </w:pPr>
      <w:r>
        <w:rPr>
          <w:rFonts w:hint="eastAsia" w:asciiTheme="minorEastAsia" w:hAnsiTheme="minorEastAsia" w:eastAsiaTheme="minorEastAsia" w:cstheme="minorEastAsia"/>
          <w:b/>
          <w:sz w:val="24"/>
          <w:highlight w:val="none"/>
        </w:rPr>
        <w:t>服务事项</w:t>
      </w:r>
    </w:p>
    <w:p w14:paraId="52C31F9D">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lang w:eastAsia="zh-TW"/>
        </w:rPr>
      </w:pPr>
      <w:r>
        <w:rPr>
          <w:rFonts w:hint="eastAsia" w:asciiTheme="minorEastAsia" w:hAnsiTheme="minorEastAsia" w:eastAsiaTheme="minorEastAsia" w:cstheme="minorEastAsia"/>
          <w:sz w:val="24"/>
          <w:highlight w:val="none"/>
        </w:rPr>
        <w:t>服务内容</w:t>
      </w:r>
    </w:p>
    <w:p w14:paraId="3F5D3925">
      <w:pPr>
        <w:pStyle w:val="14"/>
        <w:adjustRightInd w:val="0"/>
        <w:snapToGrid w:val="0"/>
        <w:spacing w:line="440" w:lineRule="exact"/>
        <w:ind w:left="1304" w:firstLine="0" w:firstLineChars="0"/>
        <w:rPr>
          <w:rFonts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highlight w:val="none"/>
        </w:rPr>
        <w:t>乙方就各</w:t>
      </w:r>
      <w:r>
        <w:rPr>
          <w:rFonts w:hint="eastAsia" w:asciiTheme="minorEastAsia" w:hAnsiTheme="minorEastAsia" w:eastAsiaTheme="minorEastAsia" w:cstheme="minorEastAsia"/>
          <w:sz w:val="24"/>
          <w:szCs w:val="24"/>
          <w:highlight w:val="none"/>
          <w:lang w:val="zh-TW"/>
        </w:rPr>
        <w:t>项目</w:t>
      </w:r>
      <w:r>
        <w:rPr>
          <w:rFonts w:hint="eastAsia" w:asciiTheme="minorEastAsia" w:hAnsiTheme="minorEastAsia" w:eastAsiaTheme="minorEastAsia" w:cstheme="minorEastAsia"/>
          <w:sz w:val="24"/>
          <w:highlight w:val="none"/>
        </w:rPr>
        <w:t>提供的服务内容、服务费金额等以双方就各项目书面确认的《推广服务执行单》（以下简称“执行单”，模版详见附件一）为准。</w:t>
      </w:r>
      <w:r>
        <w:rPr>
          <w:rFonts w:hint="eastAsia" w:ascii="宋体" w:hAnsi="宋体" w:cs="宋体"/>
          <w:sz w:val="24"/>
          <w:szCs w:val="24"/>
          <w:highlight w:val="none"/>
          <w:lang w:eastAsia="zh-CN"/>
        </w:rPr>
        <w:t>甲方</w:t>
      </w:r>
      <w:r>
        <w:rPr>
          <w:rFonts w:hint="eastAsia" w:ascii="宋体" w:hAnsi="宋体" w:eastAsia="宋体" w:cs="宋体"/>
          <w:sz w:val="24"/>
          <w:szCs w:val="24"/>
          <w:highlight w:val="none"/>
        </w:rPr>
        <w:t>为</w:t>
      </w:r>
      <w:r>
        <w:rPr>
          <w:rFonts w:hint="eastAsia" w:ascii="宋体" w:hAnsi="宋体" w:cs="宋体"/>
          <w:sz w:val="24"/>
          <w:szCs w:val="24"/>
          <w:highlight w:val="none"/>
          <w:lang w:eastAsia="zh-CN"/>
        </w:rPr>
        <w:t>乙方</w:t>
      </w:r>
      <w:r>
        <w:rPr>
          <w:rFonts w:hint="eastAsia" w:ascii="宋体" w:hAnsi="宋体" w:eastAsia="宋体" w:cs="宋体"/>
          <w:sz w:val="24"/>
          <w:szCs w:val="24"/>
          <w:highlight w:val="none"/>
          <w:lang w:eastAsia="zh-CN"/>
        </w:rPr>
        <w:t>在</w:t>
      </w:r>
      <w:r>
        <w:rPr>
          <w:rFonts w:hint="eastAsia" w:ascii="宋体" w:hAnsi="宋体" w:cs="宋体"/>
          <w:sz w:val="24"/>
          <w:szCs w:val="24"/>
          <w:highlight w:val="none"/>
          <w:lang w:val="en-US" w:eastAsia="zh-CN"/>
        </w:rPr>
        <w:t>巨量星图、巨量引擎、磁力巨星</w:t>
      </w:r>
      <w:r>
        <w:rPr>
          <w:rFonts w:hint="eastAsia" w:ascii="宋体" w:hAnsi="宋体" w:eastAsia="宋体" w:cs="宋体"/>
          <w:sz w:val="24"/>
          <w:szCs w:val="24"/>
          <w:highlight w:val="none"/>
          <w:lang w:eastAsia="zh-CN"/>
        </w:rPr>
        <w:t>媒体平台</w:t>
      </w:r>
      <w:r>
        <w:rPr>
          <w:rFonts w:hint="eastAsia" w:ascii="宋体" w:hAnsi="宋体" w:eastAsia="宋体" w:cs="宋体"/>
          <w:sz w:val="24"/>
          <w:szCs w:val="24"/>
          <w:highlight w:val="none"/>
        </w:rPr>
        <w:t>提供代充值服务。</w:t>
      </w:r>
    </w:p>
    <w:p w14:paraId="4C08BCB0">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highlight w:val="none"/>
        </w:rPr>
        <w:t>服务期限</w:t>
      </w:r>
    </w:p>
    <w:p w14:paraId="64B2A3D6">
      <w:pPr>
        <w:pStyle w:val="14"/>
        <w:adjustRightInd w:val="0"/>
        <w:snapToGrid w:val="0"/>
        <w:spacing w:line="440" w:lineRule="exact"/>
        <w:ind w:left="1304" w:firstLine="0" w:firstLineChars="0"/>
        <w:rPr>
          <w:rFonts w:hint="eastAsia" w:asciiTheme="minorEastAsia" w:hAnsiTheme="minorEastAsia" w:eastAsiaTheme="minorEastAsia" w:cstheme="minorEastAsia"/>
          <w:sz w:val="24"/>
          <w:szCs w:val="24"/>
          <w:highlight w:val="none"/>
          <w:lang w:val="zh-TW"/>
        </w:rPr>
      </w:pPr>
      <w:r>
        <w:rPr>
          <w:rFonts w:hint="eastAsia" w:asciiTheme="minorEastAsia" w:hAnsiTheme="minorEastAsia" w:eastAsiaTheme="minorEastAsia" w:cstheme="minorEastAsia"/>
          <w:sz w:val="24"/>
          <w:szCs w:val="24"/>
          <w:highlight w:val="none"/>
        </w:rPr>
        <w:t>乙方向甲方提供服务的期</w:t>
      </w:r>
      <w:r>
        <w:rPr>
          <w:rFonts w:hint="eastAsia" w:asciiTheme="minorEastAsia" w:hAnsiTheme="minorEastAsia" w:eastAsiaTheme="minorEastAsia" w:cstheme="minorEastAsia"/>
          <w:sz w:val="24"/>
          <w:szCs w:val="24"/>
          <w:highlight w:val="none"/>
        </w:rPr>
        <w:t>限为【</w:t>
      </w:r>
      <w:r>
        <w:rPr>
          <w:rFonts w:hint="eastAsia" w:asciiTheme="minorEastAsia" w:hAnsiTheme="minorEastAsia" w:eastAsiaTheme="minorEastAsia" w:cstheme="minorEastAsia"/>
          <w:sz w:val="24"/>
          <w:szCs w:val="24"/>
          <w:highlight w:val="none"/>
          <w:lang w:val="en-US" w:eastAsia="zh-CN"/>
        </w:rPr>
        <w:t>2024</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12</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13</w:t>
      </w:r>
      <w:r>
        <w:rPr>
          <w:rFonts w:hint="eastAsia" w:asciiTheme="minorEastAsia" w:hAnsiTheme="minorEastAsia" w:eastAsiaTheme="minorEastAsia" w:cstheme="minorEastAsia"/>
          <w:sz w:val="24"/>
          <w:szCs w:val="24"/>
          <w:highlight w:val="none"/>
        </w:rPr>
        <w:t>】日至【</w:t>
      </w:r>
      <w:r>
        <w:rPr>
          <w:rFonts w:hint="eastAsia" w:asciiTheme="minorEastAsia" w:hAnsiTheme="minorEastAsia" w:eastAsiaTheme="minorEastAsia" w:cstheme="minorEastAsia"/>
          <w:sz w:val="24"/>
          <w:szCs w:val="24"/>
          <w:highlight w:val="none"/>
          <w:lang w:val="en-US" w:eastAsia="zh-CN"/>
        </w:rPr>
        <w:t>2025</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12</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12</w:t>
      </w:r>
      <w:r>
        <w:rPr>
          <w:rFonts w:hint="eastAsia" w:asciiTheme="minorEastAsia" w:hAnsiTheme="minorEastAsia" w:eastAsiaTheme="minorEastAsia" w:cstheme="minorEastAsia"/>
          <w:sz w:val="24"/>
          <w:szCs w:val="24"/>
          <w:highlight w:val="none"/>
        </w:rPr>
        <w:t>】日</w:t>
      </w:r>
      <w:r>
        <w:rPr>
          <w:rFonts w:hint="eastAsia" w:asciiTheme="minorEastAsia" w:hAnsiTheme="minorEastAsia" w:eastAsiaTheme="minorEastAsia" w:cstheme="minorEastAsia"/>
          <w:sz w:val="24"/>
          <w:szCs w:val="24"/>
          <w:highlight w:val="none"/>
          <w:lang w:val="zh-TW"/>
        </w:rPr>
        <w:t>。</w:t>
      </w:r>
      <w:r>
        <w:rPr>
          <w:rFonts w:hint="eastAsia" w:asciiTheme="minorEastAsia" w:hAnsiTheme="minorEastAsia" w:eastAsiaTheme="minorEastAsia" w:cstheme="minorEastAsia"/>
          <w:kern w:val="2"/>
          <w:sz w:val="24"/>
          <w:szCs w:val="22"/>
          <w:highlight w:val="none"/>
          <w:lang w:val="en-US" w:eastAsia="zh-CN" w:bidi="ar-SA"/>
        </w:rPr>
        <w:t>合作期满，双方可协商合同续签事宜。</w:t>
      </w:r>
    </w:p>
    <w:p w14:paraId="60F90C4E">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szCs w:val="24"/>
          <w:highlight w:val="none"/>
          <w:lang w:val="zh-TW" w:eastAsia="zh-TW"/>
        </w:rPr>
      </w:pPr>
      <w:r>
        <w:rPr>
          <w:rFonts w:hint="eastAsia" w:asciiTheme="minorEastAsia" w:hAnsiTheme="minorEastAsia" w:eastAsiaTheme="minorEastAsia" w:cstheme="minorEastAsia"/>
          <w:sz w:val="24"/>
          <w:szCs w:val="24"/>
          <w:highlight w:val="none"/>
          <w:lang w:val="zh-TW"/>
        </w:rPr>
        <w:t>服务内容变更</w:t>
      </w:r>
    </w:p>
    <w:p w14:paraId="1DBA1266">
      <w:pPr>
        <w:pStyle w:val="14"/>
        <w:adjustRightInd w:val="0"/>
        <w:snapToGrid w:val="0"/>
        <w:spacing w:line="440" w:lineRule="exact"/>
        <w:ind w:left="1276" w:firstLine="0" w:firstLineChars="0"/>
        <w:rPr>
          <w:rFonts w:asciiTheme="minorEastAsia" w:hAnsiTheme="minorEastAsia" w:eastAsiaTheme="minorEastAsia" w:cstheme="minorEastAsia"/>
          <w:sz w:val="24"/>
          <w:szCs w:val="24"/>
          <w:highlight w:val="none"/>
          <w:lang w:val="zh-TW"/>
        </w:rPr>
      </w:pPr>
      <w:r>
        <w:rPr>
          <w:rFonts w:hint="eastAsia" w:asciiTheme="minorEastAsia" w:hAnsiTheme="minorEastAsia" w:eastAsiaTheme="minorEastAsia" w:cstheme="minorEastAsia"/>
          <w:sz w:val="24"/>
          <w:szCs w:val="24"/>
          <w:highlight w:val="none"/>
          <w:lang w:val="zh-TW"/>
        </w:rPr>
        <w:t>甲方要求变更</w:t>
      </w:r>
      <w:r>
        <w:rPr>
          <w:rFonts w:hint="eastAsia" w:asciiTheme="minorEastAsia" w:hAnsiTheme="minorEastAsia" w:eastAsiaTheme="minorEastAsia" w:cstheme="minorEastAsia"/>
          <w:sz w:val="24"/>
          <w:highlight w:val="none"/>
        </w:rPr>
        <w:t>执行单</w:t>
      </w:r>
      <w:r>
        <w:rPr>
          <w:rFonts w:hint="eastAsia" w:asciiTheme="minorEastAsia" w:hAnsiTheme="minorEastAsia" w:eastAsiaTheme="minorEastAsia" w:cstheme="minorEastAsia"/>
          <w:sz w:val="24"/>
          <w:szCs w:val="24"/>
          <w:highlight w:val="none"/>
          <w:lang w:val="zh-TW"/>
        </w:rPr>
        <w:t>全部或部分服务内容导致乙方工作量、时间或经济成本增加的，双方应协商并以书面形式重新约定服务内容及相关期限、服务费等事项。</w:t>
      </w:r>
    </w:p>
    <w:p w14:paraId="50CAE4CE">
      <w:pPr>
        <w:pStyle w:val="14"/>
        <w:numPr>
          <w:ilvl w:val="1"/>
          <w:numId w:val="1"/>
        </w:numPr>
        <w:adjustRightInd w:val="0"/>
        <w:snapToGrid w:val="0"/>
        <w:spacing w:before="156" w:beforeLines="50" w:line="440" w:lineRule="exact"/>
        <w:ind w:left="1276" w:hanging="454" w:firstLineChars="0"/>
        <w:rPr>
          <w:rFonts w:asciiTheme="minorEastAsia" w:hAnsiTheme="minorEastAsia" w:eastAsiaTheme="minorEastAsia" w:cstheme="minorEastAsia"/>
          <w:color w:val="00B050"/>
          <w:sz w:val="24"/>
          <w:szCs w:val="24"/>
          <w:highlight w:val="none"/>
          <w:lang w:val="zh-TW" w:eastAsia="zh-TW"/>
        </w:rPr>
      </w:pPr>
      <w:r>
        <w:rPr>
          <w:rFonts w:hint="eastAsia" w:asciiTheme="minorEastAsia" w:hAnsiTheme="minorEastAsia" w:eastAsiaTheme="minorEastAsia" w:cstheme="minorEastAsia"/>
          <w:sz w:val="24"/>
          <w:szCs w:val="24"/>
          <w:highlight w:val="none"/>
          <w:lang w:val="zh-TW" w:eastAsia="zh-TW"/>
        </w:rPr>
        <w:t>甲方委托乙方为其提供直播包场推广服务，整场直播活动仅可直播甲方指定游戏，具体的直播时长以及直播时间由双方协商确定。乙方保证通过直播带来的下载新增人数不低于双方协商确定的数量，如未达到相应下载新增人数，则乙方需安排满足甲方要求的主播达人在三个月内进行二次直播或多次直播达到相应的下载新增人数，具体新增人数甲方</w:t>
      </w:r>
      <w:r>
        <w:rPr>
          <w:rFonts w:hint="eastAsia" w:asciiTheme="minorEastAsia" w:hAnsiTheme="minorEastAsia" w:eastAsiaTheme="minorEastAsia" w:cstheme="minorEastAsia"/>
          <w:sz w:val="24"/>
          <w:szCs w:val="24"/>
          <w:highlight w:val="none"/>
          <w:lang w:val="en-US" w:eastAsia="zh-CN"/>
        </w:rPr>
        <w:t>依据平台</w:t>
      </w:r>
      <w:r>
        <w:rPr>
          <w:rFonts w:hint="eastAsia" w:asciiTheme="minorEastAsia" w:hAnsiTheme="minorEastAsia" w:eastAsiaTheme="minorEastAsia" w:cstheme="minorEastAsia"/>
          <w:sz w:val="24"/>
          <w:szCs w:val="24"/>
          <w:highlight w:val="none"/>
          <w:lang w:val="zh-TW" w:eastAsia="zh-TW"/>
        </w:rPr>
        <w:t>数据为准。乙方应当按照甲方的要求的向甲方提供</w:t>
      </w:r>
      <w:r>
        <w:rPr>
          <w:rFonts w:hint="eastAsia" w:asciiTheme="minorEastAsia" w:hAnsiTheme="minorEastAsia" w:eastAsiaTheme="minorEastAsia" w:cstheme="minorEastAsia"/>
          <w:sz w:val="24"/>
          <w:szCs w:val="24"/>
          <w:highlight w:val="none"/>
          <w:lang w:val="en-US" w:eastAsia="zh-CN"/>
        </w:rPr>
        <w:t>特定时间内的数据</w:t>
      </w:r>
      <w:r>
        <w:rPr>
          <w:rFonts w:hint="eastAsia" w:asciiTheme="minorEastAsia" w:hAnsiTheme="minorEastAsia" w:eastAsiaTheme="minorEastAsia" w:cstheme="minorEastAsia"/>
          <w:sz w:val="24"/>
          <w:szCs w:val="24"/>
          <w:highlight w:val="none"/>
          <w:lang w:val="zh-TW" w:eastAsia="zh-TW"/>
        </w:rPr>
        <w:t>材料。</w:t>
      </w:r>
    </w:p>
    <w:p w14:paraId="75A7AA89">
      <w:pPr>
        <w:pStyle w:val="14"/>
        <w:numPr>
          <w:ilvl w:val="0"/>
          <w:numId w:val="1"/>
        </w:numPr>
        <w:adjustRightInd w:val="0"/>
        <w:snapToGrid w:val="0"/>
        <w:spacing w:before="156" w:beforeLines="50" w:after="156" w:afterLines="50" w:line="440" w:lineRule="exact"/>
        <w:ind w:left="840" w:hanging="420" w:firstLineChars="0"/>
        <w:rPr>
          <w:rFonts w:asciiTheme="minorEastAsia" w:hAnsiTheme="minorEastAsia" w:eastAsiaTheme="minorEastAsia" w:cstheme="minorEastAsia"/>
          <w:b/>
          <w:sz w:val="24"/>
          <w:highlight w:val="none"/>
        </w:rPr>
      </w:pPr>
      <w:r>
        <w:rPr>
          <w:rFonts w:hint="eastAsia" w:asciiTheme="minorEastAsia" w:hAnsiTheme="minorEastAsia" w:eastAsiaTheme="minorEastAsia" w:cstheme="minorEastAsia"/>
          <w:b/>
          <w:sz w:val="24"/>
          <w:highlight w:val="none"/>
        </w:rPr>
        <w:t>服务费结算</w:t>
      </w:r>
    </w:p>
    <w:p w14:paraId="51D00890">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除非另有约定，基于本合同签署的每份执行单是相互分离的交易，各自单独结算。</w:t>
      </w:r>
    </w:p>
    <w:p w14:paraId="7731789F">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结算方式：双方书面确认执行单内容后，若执行单内已明确结算方式及付款时间的，以执行单约定的内容为准;若执行单内约定需另行以《结算单》确认的，则乙方向甲方指定邮箱发送《结算单》，甲方收到乙方《结算单》（模版详见附件二）后3个工作日内没有提出异议，视为认可乙方《结算单》的数据。</w:t>
      </w:r>
    </w:p>
    <w:p w14:paraId="65FCD2F1">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付款时间：甲方的付款时间、付款金额以书面确认的执行单及\或《结算单》</w:t>
      </w:r>
      <w:r>
        <w:rPr>
          <w:rFonts w:hint="eastAsia" w:asciiTheme="minorEastAsia" w:hAnsiTheme="minorEastAsia" w:eastAsiaTheme="minorEastAsia" w:cstheme="minorEastAsia"/>
          <w:sz w:val="24"/>
          <w:highlight w:val="none"/>
          <w:lang w:val="en-US" w:eastAsia="zh-CN"/>
        </w:rPr>
        <w:t>\或《返款协议》</w:t>
      </w:r>
      <w:r>
        <w:rPr>
          <w:rFonts w:hint="eastAsia" w:asciiTheme="minorEastAsia" w:hAnsiTheme="minorEastAsia" w:eastAsiaTheme="minorEastAsia" w:cstheme="minorEastAsia"/>
          <w:sz w:val="24"/>
          <w:highlight w:val="none"/>
        </w:rPr>
        <w:t>的约定为准，若双方有另行约定的以另行约定的为准。甲方若逾期付款，每逾期一日按应付款项的日万分之一支付违约金</w:t>
      </w:r>
      <w:r>
        <w:rPr>
          <w:rFonts w:hint="eastAsia" w:asciiTheme="minorEastAsia" w:hAnsiTheme="minorEastAsia" w:eastAsiaTheme="minorEastAsia" w:cstheme="minorEastAsia"/>
          <w:sz w:val="24"/>
          <w:highlight w:val="none"/>
          <w:lang w:eastAsia="zh-CN"/>
        </w:rPr>
        <w:t>。</w:t>
      </w:r>
    </w:p>
    <w:p w14:paraId="3DB4E530">
      <w:pPr>
        <w:pStyle w:val="14"/>
        <w:numPr>
          <w:ilvl w:val="1"/>
          <w:numId w:val="1"/>
        </w:numPr>
        <w:adjustRightInd w:val="0"/>
        <w:snapToGrid w:val="0"/>
        <w:spacing w:line="440" w:lineRule="exact"/>
        <w:ind w:left="1276" w:hanging="454" w:firstLineChars="0"/>
        <w:rPr>
          <w:rFonts w:hint="eastAsia"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lang w:val="en-US" w:eastAsia="zh-CN"/>
        </w:rPr>
        <w:t>代充值的付款方式</w:t>
      </w:r>
    </w:p>
    <w:p w14:paraId="007DAEC7">
      <w:pPr>
        <w:pStyle w:val="14"/>
        <w:numPr>
          <w:ilvl w:val="0"/>
          <w:numId w:val="0"/>
        </w:numPr>
        <w:adjustRightInd w:val="0"/>
        <w:snapToGrid w:val="0"/>
        <w:spacing w:line="440" w:lineRule="exact"/>
        <w:ind w:left="822" w:leftChars="0"/>
        <w:rPr>
          <w:rFonts w:hint="eastAsia"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①</w:t>
      </w:r>
      <w:r>
        <w:rPr>
          <w:rFonts w:hint="eastAsia" w:asciiTheme="minorEastAsia" w:hAnsiTheme="minorEastAsia" w:eastAsiaTheme="minorEastAsia" w:cstheme="minorEastAsia"/>
          <w:sz w:val="24"/>
          <w:highlight w:val="none"/>
          <w:lang w:eastAsia="zh-CN"/>
        </w:rPr>
        <w:t>乙方</w:t>
      </w:r>
      <w:r>
        <w:rPr>
          <w:rFonts w:hint="eastAsia" w:asciiTheme="minorEastAsia" w:hAnsiTheme="minorEastAsia" w:eastAsiaTheme="minorEastAsia" w:cstheme="minorEastAsia"/>
          <w:sz w:val="24"/>
          <w:highlight w:val="none"/>
        </w:rPr>
        <w:t>以银行转帐的付款方式向</w:t>
      </w:r>
      <w:r>
        <w:rPr>
          <w:rFonts w:hint="eastAsia" w:asciiTheme="minorEastAsia" w:hAnsiTheme="minorEastAsia" w:eastAsiaTheme="minorEastAsia" w:cstheme="minorEastAsia"/>
          <w:sz w:val="24"/>
          <w:highlight w:val="none"/>
          <w:lang w:eastAsia="zh-CN"/>
        </w:rPr>
        <w:t>甲方</w:t>
      </w:r>
      <w:r>
        <w:rPr>
          <w:rFonts w:hint="eastAsia" w:asciiTheme="minorEastAsia" w:hAnsiTheme="minorEastAsia" w:eastAsiaTheme="minorEastAsia" w:cstheme="minorEastAsia"/>
          <w:sz w:val="24"/>
          <w:highlight w:val="none"/>
        </w:rPr>
        <w:t>支付</w:t>
      </w:r>
      <w:r>
        <w:rPr>
          <w:rFonts w:hint="eastAsia" w:asciiTheme="minorEastAsia" w:hAnsiTheme="minorEastAsia" w:eastAsiaTheme="minorEastAsia" w:cstheme="minorEastAsia"/>
          <w:sz w:val="24"/>
          <w:highlight w:val="none"/>
          <w:lang w:eastAsia="zh-CN"/>
        </w:rPr>
        <w:t>充值金额</w:t>
      </w:r>
      <w:r>
        <w:rPr>
          <w:rFonts w:hint="eastAsia" w:asciiTheme="minorEastAsia" w:hAnsiTheme="minorEastAsia" w:eastAsiaTheme="minorEastAsia" w:cstheme="minorEastAsia"/>
          <w:sz w:val="24"/>
          <w:highlight w:val="none"/>
        </w:rPr>
        <w:t>。</w:t>
      </w:r>
    </w:p>
    <w:p w14:paraId="46DB0C12">
      <w:pPr>
        <w:pStyle w:val="14"/>
        <w:numPr>
          <w:ilvl w:val="0"/>
          <w:numId w:val="0"/>
        </w:numPr>
        <w:adjustRightInd w:val="0"/>
        <w:snapToGrid w:val="0"/>
        <w:spacing w:line="440" w:lineRule="exact"/>
        <w:ind w:left="822" w:left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②双方在每月前</w:t>
      </w:r>
      <w:r>
        <w:rPr>
          <w:rFonts w:hint="eastAsia" w:asciiTheme="minorEastAsia" w:hAnsiTheme="minorEastAsia" w:eastAsiaTheme="minorEastAsia" w:cstheme="minorEastAsia"/>
          <w:sz w:val="24"/>
          <w:highlight w:val="none"/>
          <w:lang w:val="en-US" w:eastAsia="zh-CN"/>
        </w:rPr>
        <w:t>十</w:t>
      </w:r>
      <w:r>
        <w:rPr>
          <w:rFonts w:hint="eastAsia" w:asciiTheme="minorEastAsia" w:hAnsiTheme="minorEastAsia" w:eastAsiaTheme="minorEastAsia" w:cstheme="minorEastAsia"/>
          <w:sz w:val="24"/>
          <w:highlight w:val="none"/>
        </w:rPr>
        <w:t>五日内核对上一月的</w:t>
      </w:r>
      <w:r>
        <w:rPr>
          <w:rFonts w:hint="eastAsia" w:asciiTheme="minorEastAsia" w:hAnsiTheme="minorEastAsia" w:eastAsiaTheme="minorEastAsia" w:cstheme="minorEastAsia"/>
          <w:sz w:val="24"/>
          <w:highlight w:val="none"/>
          <w:lang w:val="en-US" w:eastAsia="zh-CN"/>
        </w:rPr>
        <w:t>充值金额</w:t>
      </w:r>
      <w:r>
        <w:rPr>
          <w:rFonts w:hint="eastAsia" w:asciiTheme="minorEastAsia" w:hAnsiTheme="minorEastAsia" w:eastAsiaTheme="minorEastAsia" w:cstheme="minorEastAsia"/>
          <w:sz w:val="24"/>
          <w:highlight w:val="none"/>
        </w:rPr>
        <w:t>（节假日顺延），</w:t>
      </w:r>
      <w:r>
        <w:rPr>
          <w:rFonts w:hint="eastAsia" w:asciiTheme="minorEastAsia" w:hAnsiTheme="minorEastAsia" w:eastAsiaTheme="minorEastAsia" w:cstheme="minorEastAsia"/>
          <w:sz w:val="24"/>
          <w:highlight w:val="none"/>
          <w:lang w:val="en-US" w:eastAsia="zh-CN"/>
        </w:rPr>
        <w:t>甲方需在核对无误后当月月底30号前开具增值税专用发票给到乙方（遇到不可抗力等原因顺延）例如10月份的充值金额，11月15日前进行核对，核对无误后11月30号前开具增值税专用发票给到乙方（遇到不可抗力等原因顺延）</w:t>
      </w:r>
      <w:r>
        <w:rPr>
          <w:rFonts w:hint="eastAsia" w:asciiTheme="minorEastAsia" w:hAnsiTheme="minorEastAsia" w:eastAsiaTheme="minorEastAsia" w:cstheme="minorEastAsia"/>
          <w:sz w:val="24"/>
          <w:highlight w:val="none"/>
        </w:rPr>
        <w:t>。</w:t>
      </w:r>
      <w:r>
        <w:rPr>
          <w:rFonts w:hint="eastAsia" w:asciiTheme="minorEastAsia" w:hAnsiTheme="minorEastAsia" w:eastAsiaTheme="minorEastAsia" w:cstheme="minorEastAsia"/>
          <w:sz w:val="24"/>
          <w:highlight w:val="none"/>
          <w:lang w:val="en-US" w:eastAsia="zh-CN"/>
        </w:rPr>
        <w:t>每次具体充值金额由甲乙双方通过邮件方式或其他书面方式确认。</w:t>
      </w:r>
    </w:p>
    <w:p w14:paraId="5E572293">
      <w:pPr>
        <w:pStyle w:val="14"/>
        <w:numPr>
          <w:ilvl w:val="0"/>
          <w:numId w:val="0"/>
        </w:numPr>
        <w:adjustRightInd w:val="0"/>
        <w:snapToGrid w:val="0"/>
        <w:spacing w:line="440" w:lineRule="exact"/>
        <w:ind w:left="822" w:left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3.</w:t>
      </w:r>
      <w:r>
        <w:rPr>
          <w:rFonts w:hint="eastAsia" w:asciiTheme="minorEastAsia" w:hAnsiTheme="minorEastAsia" w:eastAsiaTheme="minorEastAsia" w:cstheme="minorEastAsia"/>
          <w:sz w:val="24"/>
          <w:highlight w:val="none"/>
          <w:lang w:val="en-US" w:eastAsia="zh-CN"/>
        </w:rPr>
        <w:t>5</w:t>
      </w:r>
      <w:r>
        <w:rPr>
          <w:rFonts w:hint="eastAsia" w:asciiTheme="minorEastAsia" w:hAnsiTheme="minorEastAsia" w:eastAsiaTheme="minorEastAsia" w:cstheme="minorEastAsia"/>
          <w:sz w:val="24"/>
          <w:highlight w:val="none"/>
          <w:lang w:eastAsia="zh-CN"/>
        </w:rPr>
        <w:t>甲方</w:t>
      </w:r>
      <w:r>
        <w:rPr>
          <w:rFonts w:hint="eastAsia" w:asciiTheme="minorEastAsia" w:hAnsiTheme="minorEastAsia" w:eastAsiaTheme="minorEastAsia" w:cstheme="minorEastAsia"/>
          <w:sz w:val="24"/>
          <w:highlight w:val="none"/>
        </w:rPr>
        <w:t>指定的</w:t>
      </w:r>
      <w:r>
        <w:rPr>
          <w:rFonts w:hint="eastAsia" w:asciiTheme="minorEastAsia" w:hAnsiTheme="minorEastAsia" w:eastAsiaTheme="minorEastAsia" w:cstheme="minorEastAsia"/>
          <w:sz w:val="24"/>
          <w:highlight w:val="none"/>
          <w:lang w:val="en-US" w:eastAsia="zh-CN"/>
        </w:rPr>
        <w:t>收款</w:t>
      </w:r>
      <w:r>
        <w:rPr>
          <w:rFonts w:hint="eastAsia" w:asciiTheme="minorEastAsia" w:hAnsiTheme="minorEastAsia" w:eastAsiaTheme="minorEastAsia" w:cstheme="minorEastAsia"/>
          <w:sz w:val="24"/>
          <w:highlight w:val="none"/>
        </w:rPr>
        <w:t>帐户：</w:t>
      </w:r>
    </w:p>
    <w:p w14:paraId="63C3E735">
      <w:pPr>
        <w:pStyle w:val="14"/>
        <w:adjustRightInd w:val="0"/>
        <w:snapToGrid w:val="0"/>
        <w:spacing w:line="440" w:lineRule="exact"/>
        <w:ind w:left="1276" w:firstLine="0" w:firstLineChar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公司名称:聚玩互动（武汉）传媒有限公司</w:t>
      </w:r>
    </w:p>
    <w:p w14:paraId="44D5BB60">
      <w:pPr>
        <w:pStyle w:val="14"/>
        <w:adjustRightInd w:val="0"/>
        <w:snapToGrid w:val="0"/>
        <w:spacing w:line="440" w:lineRule="exact"/>
        <w:ind w:left="1276" w:firstLine="0" w:firstLineChar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开户行账号:127920531410001</w:t>
      </w:r>
    </w:p>
    <w:p w14:paraId="7544C511">
      <w:pPr>
        <w:pStyle w:val="14"/>
        <w:adjustRightInd w:val="0"/>
        <w:snapToGrid w:val="0"/>
        <w:spacing w:line="440" w:lineRule="exact"/>
        <w:ind w:left="1276" w:firstLine="0" w:firstLineChar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开户支行:招商银行武汉市洪山支行</w:t>
      </w:r>
    </w:p>
    <w:p w14:paraId="76EB0F0C">
      <w:pPr>
        <w:pStyle w:val="14"/>
        <w:numPr>
          <w:ilvl w:val="0"/>
          <w:numId w:val="0"/>
        </w:numPr>
        <w:adjustRightInd w:val="0"/>
        <w:snapToGrid w:val="0"/>
        <w:spacing w:line="440" w:lineRule="exact"/>
        <w:ind w:left="822" w:leftChars="0"/>
        <w:rPr>
          <w:rFonts w:hint="default" w:asciiTheme="minorEastAsia" w:hAnsiTheme="minorEastAsia" w:eastAsiaTheme="minorEastAsia" w:cstheme="minorEastAsia"/>
          <w:sz w:val="24"/>
          <w:highlight w:val="none"/>
          <w:lang w:val="en-US" w:eastAsia="zh-CN"/>
        </w:rPr>
      </w:pPr>
      <w:r>
        <w:rPr>
          <w:rFonts w:hint="eastAsia" w:asciiTheme="minorEastAsia" w:hAnsiTheme="minorEastAsia" w:eastAsiaTheme="minorEastAsia" w:cstheme="minorEastAsia"/>
          <w:sz w:val="24"/>
          <w:highlight w:val="none"/>
        </w:rPr>
        <w:t>3.</w:t>
      </w:r>
      <w:r>
        <w:rPr>
          <w:rFonts w:hint="eastAsia" w:asciiTheme="minorEastAsia" w:hAnsiTheme="minorEastAsia" w:eastAsiaTheme="minorEastAsia" w:cstheme="minorEastAsia"/>
          <w:sz w:val="24"/>
          <w:highlight w:val="none"/>
          <w:lang w:val="en-US" w:eastAsia="zh-CN"/>
        </w:rPr>
        <w:t>6甲方</w:t>
      </w:r>
      <w:r>
        <w:rPr>
          <w:rFonts w:hint="eastAsia" w:asciiTheme="minorEastAsia" w:hAnsiTheme="minorEastAsia" w:eastAsiaTheme="minorEastAsia" w:cstheme="minorEastAsia"/>
          <w:sz w:val="24"/>
          <w:highlight w:val="none"/>
        </w:rPr>
        <w:t>应按上述条款的规定及时将</w:t>
      </w:r>
      <w:r>
        <w:rPr>
          <w:rFonts w:hint="eastAsia" w:asciiTheme="minorEastAsia" w:hAnsiTheme="minorEastAsia" w:eastAsiaTheme="minorEastAsia" w:cstheme="minorEastAsia"/>
          <w:sz w:val="24"/>
          <w:highlight w:val="none"/>
          <w:lang w:val="en-US" w:eastAsia="zh-CN"/>
        </w:rPr>
        <w:t>开具增值税专用发票给到乙方</w:t>
      </w:r>
      <w:r>
        <w:rPr>
          <w:rFonts w:hint="eastAsia" w:asciiTheme="minorEastAsia" w:hAnsiTheme="minorEastAsia" w:eastAsiaTheme="minorEastAsia" w:cstheme="minorEastAsia"/>
          <w:sz w:val="24"/>
          <w:highlight w:val="none"/>
        </w:rPr>
        <w:t>：</w:t>
      </w:r>
      <w:r>
        <w:rPr>
          <w:rFonts w:hint="eastAsia" w:asciiTheme="minorEastAsia" w:hAnsiTheme="minorEastAsia" w:eastAsiaTheme="minorEastAsia" w:cstheme="minorEastAsia"/>
          <w:sz w:val="24"/>
          <w:highlight w:val="none"/>
          <w:lang w:val="en-US" w:eastAsia="zh-CN"/>
        </w:rPr>
        <w:t>开票税目为：*信息技术服务*信息服务费</w:t>
      </w:r>
    </w:p>
    <w:p w14:paraId="1540A3F8">
      <w:pPr>
        <w:pStyle w:val="14"/>
        <w:adjustRightInd w:val="0"/>
        <w:snapToGrid w:val="0"/>
        <w:spacing w:line="440" w:lineRule="exact"/>
        <w:ind w:left="1276" w:firstLine="0" w:firstLineChars="0"/>
        <w:rPr>
          <w:rFonts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公司名称：武汉鲜游科技有限公司</w:t>
      </w:r>
    </w:p>
    <w:p w14:paraId="523FCCA1">
      <w:pPr>
        <w:pStyle w:val="14"/>
        <w:adjustRightInd w:val="0"/>
        <w:snapToGrid w:val="0"/>
        <w:spacing w:line="440" w:lineRule="exact"/>
        <w:ind w:left="1276" w:firstLine="0" w:firstLineChars="0"/>
        <w:rPr>
          <w:rFonts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纳税人识别号：91420100MA7KEWN83G</w:t>
      </w:r>
    </w:p>
    <w:p w14:paraId="4C961C8E">
      <w:pPr>
        <w:spacing w:line="360" w:lineRule="auto"/>
        <w:ind w:left="1917" w:leftChars="570" w:hanging="720" w:hangingChars="30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地址：</w:t>
      </w:r>
      <w:r>
        <w:rPr>
          <w:rFonts w:hint="eastAsia" w:asciiTheme="minorEastAsia" w:hAnsiTheme="minorEastAsia" w:eastAsiaTheme="minorEastAsia" w:cstheme="minorEastAsia"/>
          <w:sz w:val="24"/>
          <w:szCs w:val="24"/>
          <w:highlight w:val="none"/>
        </w:rPr>
        <w:t>湖北省武汉市洪山区洪山街野芷湖西路16号武汉创意天地三期创意工坊3号楼/单元1层3号</w:t>
      </w:r>
    </w:p>
    <w:p w14:paraId="7A85842C">
      <w:pPr>
        <w:pStyle w:val="14"/>
        <w:adjustRightInd w:val="0"/>
        <w:snapToGrid w:val="0"/>
        <w:spacing w:line="440" w:lineRule="exact"/>
        <w:ind w:left="0" w:firstLine="1200" w:firstLineChars="500"/>
        <w:rPr>
          <w:rFonts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开户行：渤海银行股份有限公司武汉江岸支行</w:t>
      </w:r>
    </w:p>
    <w:p w14:paraId="60A1E84F">
      <w:pPr>
        <w:pStyle w:val="14"/>
        <w:adjustRightInd w:val="0"/>
        <w:snapToGrid w:val="0"/>
        <w:spacing w:line="440" w:lineRule="exact"/>
        <w:ind w:left="0" w:firstLine="1200" w:firstLineChars="500"/>
        <w:rPr>
          <w:rFonts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账号：2060597226000122</w:t>
      </w:r>
    </w:p>
    <w:p w14:paraId="690B3127">
      <w:pPr>
        <w:pStyle w:val="14"/>
        <w:numPr>
          <w:ilvl w:val="0"/>
          <w:numId w:val="1"/>
        </w:numPr>
        <w:adjustRightInd w:val="0"/>
        <w:snapToGrid w:val="0"/>
        <w:spacing w:before="156" w:beforeLines="50" w:after="156" w:afterLines="50" w:line="440" w:lineRule="exact"/>
        <w:ind w:left="840" w:hanging="420" w:firstLineChars="0"/>
        <w:rPr>
          <w:rFonts w:asciiTheme="minorEastAsia" w:hAnsiTheme="minorEastAsia" w:eastAsiaTheme="minorEastAsia" w:cstheme="minorEastAsia"/>
          <w:b/>
          <w:sz w:val="24"/>
          <w:highlight w:val="none"/>
        </w:rPr>
      </w:pPr>
      <w:r>
        <w:rPr>
          <w:rFonts w:hint="eastAsia" w:asciiTheme="minorEastAsia" w:hAnsiTheme="minorEastAsia" w:eastAsiaTheme="minorEastAsia" w:cstheme="minorEastAsia"/>
          <w:b/>
          <w:sz w:val="24"/>
          <w:highlight w:val="none"/>
        </w:rPr>
        <w:t>双方权利义务</w:t>
      </w:r>
    </w:p>
    <w:p w14:paraId="7581F15E">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甲方权利义务</w:t>
      </w:r>
    </w:p>
    <w:p w14:paraId="2F0B0C6F">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甲方保证其具备签订及履行本合同所需权利能力与行为能力，已获得签订及履行本合同之必要授权、许可、批准及同意，其签订及履行本合同不违反法律、法规及其他对其有约束力的规范性文件之规定，亦不构成对任何第三方的侵权或违约。</w:t>
      </w:r>
    </w:p>
    <w:p w14:paraId="636066C2">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highlight w:val="none"/>
          <w:lang w:eastAsia="zh-TW"/>
        </w:rPr>
        <w:t>乙方须在甲方每次提供充值服务前向甲方足额预付充值金额，否则，甲方有权拒绝为乙方提供信息服务，由此造成的损失由乙方全额承担。</w:t>
      </w:r>
    </w:p>
    <w:p w14:paraId="4BAD618C">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szCs w:val="24"/>
          <w:highlight w:val="none"/>
          <w:lang w:eastAsia="zh-TW"/>
        </w:rPr>
      </w:pPr>
      <w:r>
        <w:rPr>
          <w:rFonts w:hint="eastAsia" w:asciiTheme="minorEastAsia" w:hAnsiTheme="minorEastAsia" w:eastAsiaTheme="minorEastAsia" w:cstheme="minorEastAsia"/>
          <w:sz w:val="24"/>
          <w:highlight w:val="none"/>
        </w:rPr>
        <w:t>甲方应保证其提供的创意、素材、基础材料等</w:t>
      </w:r>
      <w:r>
        <w:rPr>
          <w:rFonts w:hint="eastAsia" w:asciiTheme="minorEastAsia" w:hAnsiTheme="minorEastAsia" w:eastAsiaTheme="minorEastAsia" w:cstheme="minorEastAsia"/>
          <w:sz w:val="24"/>
          <w:szCs w:val="24"/>
          <w:highlight w:val="none"/>
        </w:rPr>
        <w:t>不包含下述内容：</w:t>
      </w:r>
    </w:p>
    <w:p w14:paraId="193A05CC">
      <w:pPr>
        <w:numPr>
          <w:ilvl w:val="0"/>
          <w:numId w:val="2"/>
        </w:numPr>
        <w:adjustRightInd w:val="0"/>
        <w:snapToGrid w:val="0"/>
        <w:spacing w:line="440" w:lineRule="exact"/>
        <w:ind w:left="1928"/>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根据所适用法律构成反动、诽谤、色情、淫秽或毁谤等违法性内容；</w:t>
      </w:r>
    </w:p>
    <w:p w14:paraId="41B19CCD">
      <w:pPr>
        <w:numPr>
          <w:ilvl w:val="0"/>
          <w:numId w:val="2"/>
        </w:numPr>
        <w:adjustRightInd w:val="0"/>
        <w:snapToGrid w:val="0"/>
        <w:spacing w:line="440" w:lineRule="exact"/>
        <w:ind w:left="1928"/>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侵犯任何第三方知识产权或其他合法权益的内容；</w:t>
      </w:r>
    </w:p>
    <w:p w14:paraId="12D8C881">
      <w:pPr>
        <w:numPr>
          <w:ilvl w:val="0"/>
          <w:numId w:val="2"/>
        </w:numPr>
        <w:adjustRightInd w:val="0"/>
        <w:snapToGrid w:val="0"/>
        <w:spacing w:line="440" w:lineRule="exact"/>
        <w:ind w:left="1928"/>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侵犯任何第三方公众形象或隐私的内容；</w:t>
      </w:r>
    </w:p>
    <w:p w14:paraId="11560260">
      <w:pPr>
        <w:numPr>
          <w:ilvl w:val="0"/>
          <w:numId w:val="2"/>
        </w:numPr>
        <w:adjustRightInd w:val="0"/>
        <w:snapToGrid w:val="0"/>
        <w:spacing w:line="440" w:lineRule="exact"/>
        <w:ind w:left="1928"/>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其他法律、法规规定的不得包含的内容。</w:t>
      </w:r>
    </w:p>
    <w:p w14:paraId="52E5B749">
      <w:pPr>
        <w:numPr>
          <w:ilvl w:val="0"/>
          <w:numId w:val="2"/>
        </w:numPr>
        <w:adjustRightInd w:val="0"/>
        <w:snapToGrid w:val="0"/>
        <w:spacing w:line="440" w:lineRule="exact"/>
        <w:ind w:left="1928"/>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lang w:val="en-US" w:eastAsia="zh-CN"/>
        </w:rPr>
        <w:t>乙方不承担由甲方因上述条款产生的任何责任，乙方因此造成的损失由甲方赔偿，并追究违约责任。</w:t>
      </w:r>
    </w:p>
    <w:p w14:paraId="0A74EA50">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szCs w:val="24"/>
          <w:highlight w:val="none"/>
          <w:lang w:eastAsia="zh-TW"/>
        </w:rPr>
      </w:pPr>
      <w:r>
        <w:rPr>
          <w:rFonts w:hint="eastAsia" w:asciiTheme="minorEastAsia" w:hAnsiTheme="minorEastAsia" w:eastAsiaTheme="minorEastAsia" w:cstheme="minorEastAsia"/>
          <w:sz w:val="24"/>
          <w:highlight w:val="none"/>
        </w:rPr>
        <w:t>甲方应于执行单签订之前将拟委托的服务内容及具体要求以书面形式提供给乙方。甲方违反本款约定的，乙方履约期限可以相应顺延。</w:t>
      </w:r>
    </w:p>
    <w:p w14:paraId="41D414F1">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highlight w:val="none"/>
          <w:lang w:eastAsia="zh-TW"/>
        </w:rPr>
      </w:pPr>
      <w:r>
        <w:rPr>
          <w:rFonts w:hint="eastAsia" w:asciiTheme="minorEastAsia" w:hAnsiTheme="minorEastAsia" w:eastAsiaTheme="minorEastAsia" w:cstheme="minorEastAsia"/>
          <w:sz w:val="24"/>
          <w:highlight w:val="none"/>
          <w:lang w:eastAsia="zh-TW"/>
        </w:rPr>
        <w:t>甲方有权对乙方的直播推广行为进行监督，有权对乙方在直播推广过程中使用到的甲方拥有知识产权的游戏产品或甲方品牌标识进行监督，包括但不限于：知识产权的使用范围、软件版权的完整性和商标权的合法使用等。</w:t>
      </w:r>
    </w:p>
    <w:p w14:paraId="0D06945C">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highlight w:val="none"/>
          <w:lang w:eastAsia="zh-TW"/>
        </w:rPr>
      </w:pPr>
      <w:r>
        <w:rPr>
          <w:rFonts w:hint="eastAsia" w:asciiTheme="minorEastAsia" w:hAnsiTheme="minorEastAsia" w:eastAsiaTheme="minorEastAsia" w:cstheme="minorEastAsia"/>
          <w:sz w:val="24"/>
          <w:highlight w:val="none"/>
          <w:lang w:eastAsia="zh-TW"/>
        </w:rPr>
        <w:t>甲方有权利对乙方推广数据的真实性及合法性进行监督与考核，通过乙方推广所带来的用户必须是真实用户，如乙方为骗取甲方推广费用利用非正规手段获得的虚假用户，甲方有权立即解除本合同并无须向乙方支付通过不正当、虚假手段提供推广服务所对应的推广费用，并有权要求乙方赔偿甲方因此而遭受的损失。</w:t>
      </w:r>
    </w:p>
    <w:p w14:paraId="59D28447">
      <w:pPr>
        <w:pStyle w:val="14"/>
        <w:numPr>
          <w:ilvl w:val="0"/>
          <w:numId w:val="0"/>
        </w:numPr>
        <w:adjustRightInd w:val="0"/>
        <w:snapToGrid w:val="0"/>
        <w:spacing w:line="440" w:lineRule="exact"/>
        <w:ind w:left="1304" w:leftChars="0"/>
        <w:rPr>
          <w:rFonts w:asciiTheme="minorEastAsia" w:hAnsiTheme="minorEastAsia" w:eastAsiaTheme="minorEastAsia" w:cstheme="minorEastAsia"/>
          <w:sz w:val="24"/>
          <w:highlight w:val="none"/>
          <w:lang w:eastAsia="zh-TW"/>
        </w:rPr>
      </w:pPr>
    </w:p>
    <w:p w14:paraId="1E55059B">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乙方权利义务</w:t>
      </w:r>
    </w:p>
    <w:p w14:paraId="675B7627">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甲方</w:t>
      </w:r>
      <w:r>
        <w:rPr>
          <w:rFonts w:hint="eastAsia" w:asciiTheme="minorEastAsia" w:hAnsiTheme="minorEastAsia" w:eastAsiaTheme="minorEastAsia" w:cstheme="minorEastAsia"/>
          <w:sz w:val="24"/>
          <w:szCs w:val="24"/>
          <w:highlight w:val="none"/>
          <w:lang w:val="zh-TW"/>
        </w:rPr>
        <w:t>要求</w:t>
      </w:r>
      <w:r>
        <w:rPr>
          <w:rFonts w:hint="eastAsia" w:asciiTheme="minorEastAsia" w:hAnsiTheme="minorEastAsia" w:eastAsiaTheme="minorEastAsia" w:cstheme="minorEastAsia"/>
          <w:sz w:val="24"/>
          <w:highlight w:val="none"/>
        </w:rPr>
        <w:t>或所提供</w:t>
      </w:r>
      <w:r>
        <w:rPr>
          <w:rFonts w:hint="eastAsia" w:asciiTheme="minorEastAsia" w:hAnsiTheme="minorEastAsia" w:eastAsiaTheme="minorEastAsia" w:cstheme="minorEastAsia"/>
          <w:sz w:val="24"/>
          <w:szCs w:val="24"/>
          <w:highlight w:val="none"/>
        </w:rPr>
        <w:t>创意、素材、基础材料</w:t>
      </w:r>
      <w:r>
        <w:rPr>
          <w:rFonts w:hint="eastAsia" w:asciiTheme="minorEastAsia" w:hAnsiTheme="minorEastAsia" w:eastAsiaTheme="minorEastAsia" w:cstheme="minorEastAsia"/>
          <w:sz w:val="24"/>
          <w:highlight w:val="none"/>
        </w:rPr>
        <w:t>等不符合法律、法规、规范性文件、政策制度及平台规则要求的，乙方有权要求甲方修改、调整；在甲方做出修改、调整前，乙方有权拒绝履行本合同义务。</w:t>
      </w:r>
    </w:p>
    <w:p w14:paraId="0C613E5A">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甲方免费负责为乙方与甲方网站进行协调工作，如乙方尚未在甲方网站开户，则甲方还应协助乙方开设乙方账户。</w:t>
      </w:r>
    </w:p>
    <w:p w14:paraId="3E9C8C9E">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甲方需在收到乙方支付的充值金额后，及时为乙方完成代充值任务。</w:t>
      </w:r>
    </w:p>
    <w:p w14:paraId="2AF891D4">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如本协议解除或终止时，若乙方账户仍有余额未消耗完毕的，则甲方应积极协助乙方与媒体平台沟通，收到媒体平台的退款后，退还乙方尚未消耗的金额。</w:t>
      </w:r>
    </w:p>
    <w:p w14:paraId="1FDF760B">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甲方应当在收到乙方预付充值金额后3个工作日内向乙方在媒体方账户内完成充值。</w:t>
      </w:r>
    </w:p>
    <w:p w14:paraId="72F04455">
      <w:pPr>
        <w:pStyle w:val="14"/>
        <w:numPr>
          <w:ilvl w:val="2"/>
          <w:numId w:val="1"/>
        </w:numPr>
        <w:adjustRightInd w:val="0"/>
        <w:snapToGrid w:val="0"/>
        <w:spacing w:line="440" w:lineRule="exact"/>
        <w:ind w:left="1928" w:hanging="624" w:firstLineChars="0"/>
        <w:rPr>
          <w:rFonts w:hint="eastAsia" w:asciiTheme="minorEastAsia" w:hAnsiTheme="minorEastAsia" w:eastAsiaTheme="minorEastAsia" w:cstheme="minorEastAsia"/>
          <w:sz w:val="24"/>
          <w:highlight w:val="none"/>
          <w:lang w:eastAsia="zh-TW"/>
        </w:rPr>
      </w:pPr>
      <w:r>
        <w:rPr>
          <w:rFonts w:hint="eastAsia" w:asciiTheme="minorEastAsia" w:hAnsiTheme="minorEastAsia" w:eastAsiaTheme="minorEastAsia" w:cstheme="minorEastAsia"/>
          <w:sz w:val="24"/>
          <w:highlight w:val="none"/>
        </w:rPr>
        <w:t>乙方应按照执行单约定的内容、时间及要求完成本合同各项义务，应听取甲方及甲方客户的建议或意见，及时、充分地与甲方及甲方客户沟通，以正确理解甲方及甲方客户的要求并按要求执行。</w:t>
      </w:r>
    </w:p>
    <w:p w14:paraId="24806747">
      <w:pPr>
        <w:pStyle w:val="14"/>
        <w:numPr>
          <w:ilvl w:val="2"/>
          <w:numId w:val="1"/>
        </w:numPr>
        <w:adjustRightInd w:val="0"/>
        <w:snapToGrid w:val="0"/>
        <w:spacing w:line="440" w:lineRule="exact"/>
        <w:ind w:left="1928" w:hanging="624" w:firstLineChars="0"/>
        <w:rPr>
          <w:rFonts w:hint="eastAsia"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因</w:t>
      </w:r>
      <w:r>
        <w:rPr>
          <w:rFonts w:hint="eastAsia" w:asciiTheme="minorEastAsia" w:hAnsiTheme="minorEastAsia" w:eastAsiaTheme="minorEastAsia" w:cstheme="minorEastAsia"/>
          <w:sz w:val="24"/>
          <w:highlight w:val="none"/>
          <w:lang w:val="en-US" w:eastAsia="zh-CN"/>
        </w:rPr>
        <w:t>乙</w:t>
      </w:r>
      <w:r>
        <w:rPr>
          <w:rFonts w:hint="eastAsia" w:asciiTheme="minorEastAsia" w:hAnsiTheme="minorEastAsia" w:eastAsiaTheme="minorEastAsia" w:cstheme="minorEastAsia"/>
          <w:sz w:val="24"/>
          <w:highlight w:val="none"/>
        </w:rPr>
        <w:t>方原因导致</w:t>
      </w:r>
      <w:r>
        <w:rPr>
          <w:rFonts w:hint="eastAsia" w:asciiTheme="minorEastAsia" w:hAnsiTheme="minorEastAsia" w:eastAsiaTheme="minorEastAsia" w:cstheme="minorEastAsia"/>
          <w:sz w:val="24"/>
          <w:highlight w:val="none"/>
          <w:lang w:val="en-US" w:eastAsia="zh-CN"/>
        </w:rPr>
        <w:t>甲</w:t>
      </w:r>
      <w:r>
        <w:rPr>
          <w:rFonts w:hint="eastAsia" w:asciiTheme="minorEastAsia" w:hAnsiTheme="minorEastAsia" w:eastAsiaTheme="minorEastAsia" w:cstheme="minorEastAsia"/>
          <w:sz w:val="24"/>
          <w:highlight w:val="none"/>
        </w:rPr>
        <w:t>方无法按约定期限履行义务的，应提前3个工作日书面通知甲方，经甲方书面确认后可相应顺延，具体顺延期限双方协商确定，双方未能达成一致的，甲方有权单方面取消订单，并不支付任何费用。</w:t>
      </w:r>
    </w:p>
    <w:p w14:paraId="5671AD77">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highlight w:val="none"/>
          <w:lang w:eastAsia="zh-TW"/>
        </w:rPr>
      </w:pPr>
      <w:r>
        <w:rPr>
          <w:rFonts w:hint="eastAsia" w:asciiTheme="minorEastAsia" w:hAnsiTheme="minorEastAsia" w:eastAsiaTheme="minorEastAsia" w:cstheme="minorEastAsia"/>
          <w:sz w:val="24"/>
          <w:highlight w:val="none"/>
        </w:rPr>
        <w:t>乙方根据已确认的执行单内容开始进行服务的筹备工作，甲方要求额外修改、调整、重新执行或因其他甲方原因导致执行单的服务费用增加的，乙方应将费用明细提前以书面方式提交甲方核对，经甲方书面确认后由甲方承担。</w:t>
      </w:r>
    </w:p>
    <w:p w14:paraId="3C26F1D0">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highlight w:val="none"/>
          <w:lang w:eastAsia="zh-TW"/>
        </w:rPr>
      </w:pPr>
      <w:r>
        <w:rPr>
          <w:rFonts w:hint="eastAsia" w:asciiTheme="minorEastAsia" w:hAnsiTheme="minorEastAsia" w:eastAsiaTheme="minorEastAsia" w:cstheme="minorEastAsia"/>
          <w:sz w:val="24"/>
          <w:highlight w:val="none"/>
          <w:lang w:eastAsia="zh-TW"/>
        </w:rPr>
        <w:t>乙方保证其推广方式及推广服务内容不违反国家法律、法规、及国家相关部门的政策，不侵犯甲方或第三方合法权益；如有违反，一经发现，甲方有权立即终止本协议，停止结算费用，并要求乙方赔偿甲方所遭受的全部损失。</w:t>
      </w:r>
    </w:p>
    <w:p w14:paraId="221E6ABF">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highlight w:val="none"/>
          <w:lang w:eastAsia="zh-TW"/>
        </w:rPr>
      </w:pPr>
      <w:r>
        <w:rPr>
          <w:rFonts w:hint="eastAsia" w:asciiTheme="minorEastAsia" w:hAnsiTheme="minorEastAsia" w:eastAsiaTheme="minorEastAsia" w:cstheme="minorEastAsia"/>
          <w:sz w:val="24"/>
          <w:highlight w:val="none"/>
          <w:lang w:eastAsia="zh-TW"/>
        </w:rPr>
        <w:t>乙方主播应保持良好自身形象，不得作出任何影响公众形象的言论、行为，不得有暴力、反动、涉政、宗教、涉黄、涉毒等任何违反法律规定或导致甲方社会评价降低和声誉受损的情形发生。</w:t>
      </w:r>
    </w:p>
    <w:p w14:paraId="08568FEA">
      <w:pPr>
        <w:pStyle w:val="14"/>
        <w:numPr>
          <w:ilvl w:val="2"/>
          <w:numId w:val="1"/>
        </w:numPr>
        <w:adjustRightInd w:val="0"/>
        <w:snapToGrid w:val="0"/>
        <w:spacing w:line="440" w:lineRule="exact"/>
        <w:ind w:left="1928" w:hanging="624" w:firstLineChars="0"/>
        <w:rPr>
          <w:rFonts w:asciiTheme="minorEastAsia" w:hAnsiTheme="minorEastAsia" w:eastAsiaTheme="minorEastAsia" w:cstheme="minorEastAsia"/>
          <w:sz w:val="24"/>
          <w:highlight w:val="none"/>
          <w:lang w:eastAsia="zh-TW"/>
        </w:rPr>
      </w:pPr>
      <w:r>
        <w:rPr>
          <w:rFonts w:hint="eastAsia" w:asciiTheme="minorEastAsia" w:hAnsiTheme="minorEastAsia" w:eastAsiaTheme="minorEastAsia" w:cstheme="minorEastAsia"/>
          <w:sz w:val="24"/>
          <w:highlight w:val="none"/>
          <w:lang w:eastAsia="zh-TW"/>
        </w:rPr>
        <w:t>乙方及乙方主播保证直播及短视频发布应保证内容的合法、合规性，不侵犯第三方任何合法权利，不违反平台发布规则。</w:t>
      </w:r>
    </w:p>
    <w:p w14:paraId="0CAD0ADC">
      <w:pPr>
        <w:pStyle w:val="14"/>
        <w:numPr>
          <w:ilvl w:val="0"/>
          <w:numId w:val="1"/>
        </w:numPr>
        <w:adjustRightInd w:val="0"/>
        <w:snapToGrid w:val="0"/>
        <w:spacing w:before="156" w:beforeLines="50" w:after="156" w:afterLines="50" w:line="440" w:lineRule="exact"/>
        <w:ind w:left="840" w:hanging="420" w:firstLineChars="0"/>
        <w:rPr>
          <w:rFonts w:asciiTheme="minorEastAsia" w:hAnsiTheme="minorEastAsia" w:eastAsiaTheme="minorEastAsia" w:cstheme="minorEastAsia"/>
          <w:b/>
          <w:sz w:val="24"/>
          <w:highlight w:val="none"/>
        </w:rPr>
      </w:pPr>
      <w:r>
        <w:rPr>
          <w:rFonts w:hint="eastAsia" w:asciiTheme="minorEastAsia" w:hAnsiTheme="minorEastAsia" w:eastAsiaTheme="minorEastAsia" w:cstheme="minorEastAsia"/>
          <w:b/>
          <w:sz w:val="24"/>
          <w:highlight w:val="none"/>
        </w:rPr>
        <w:t>知识产权</w:t>
      </w:r>
    </w:p>
    <w:p w14:paraId="4C976ED7">
      <w:pPr>
        <w:pStyle w:val="14"/>
        <w:numPr>
          <w:ilvl w:val="1"/>
          <w:numId w:val="1"/>
        </w:numPr>
        <w:adjustRightInd w:val="0"/>
        <w:snapToGrid w:val="0"/>
        <w:spacing w:line="440" w:lineRule="exact"/>
        <w:ind w:left="1276" w:hanging="454" w:firstLineChar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highlight w:val="none"/>
        </w:rPr>
        <w:t>本合同项下任何一方所提供的</w:t>
      </w:r>
      <w:r>
        <w:rPr>
          <w:rFonts w:hint="eastAsia" w:asciiTheme="minorEastAsia" w:hAnsiTheme="minorEastAsia" w:eastAsiaTheme="minorEastAsia" w:cstheme="minorEastAsia"/>
          <w:sz w:val="24"/>
          <w:szCs w:val="24"/>
          <w:highlight w:val="none"/>
        </w:rPr>
        <w:t>创意、素材、基础材料等的版权及其他相关权利均归提供方所有，未经提供方事先书面同意，任何一方不得以任何方式使用。</w:t>
      </w:r>
    </w:p>
    <w:p w14:paraId="3300F109">
      <w:pPr>
        <w:pStyle w:val="14"/>
        <w:numPr>
          <w:ilvl w:val="1"/>
          <w:numId w:val="1"/>
        </w:numPr>
        <w:adjustRightInd w:val="0"/>
        <w:snapToGrid w:val="0"/>
        <w:spacing w:line="440" w:lineRule="exact"/>
        <w:ind w:left="1276" w:hanging="454" w:firstLineChar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zh-TW" w:eastAsia="zh-TW"/>
        </w:rPr>
        <w:t>本合同工作成果及履行本合同过程中产生的创意、脚本、初剪片、成片等的知识产权均归</w:t>
      </w:r>
      <w:r>
        <w:rPr>
          <w:rFonts w:hint="eastAsia" w:asciiTheme="minorEastAsia" w:hAnsiTheme="minorEastAsia" w:eastAsiaTheme="minorEastAsia" w:cstheme="minorEastAsia"/>
          <w:sz w:val="24"/>
          <w:szCs w:val="24"/>
          <w:highlight w:val="none"/>
          <w:lang w:val="zh-TW"/>
        </w:rPr>
        <w:t>甲方</w:t>
      </w:r>
      <w:r>
        <w:rPr>
          <w:rFonts w:hint="eastAsia" w:asciiTheme="minorEastAsia" w:hAnsiTheme="minorEastAsia" w:eastAsiaTheme="minorEastAsia" w:cstheme="minorEastAsia"/>
          <w:sz w:val="24"/>
          <w:szCs w:val="24"/>
          <w:highlight w:val="none"/>
          <w:lang w:val="zh-TW" w:eastAsia="zh-TW"/>
        </w:rPr>
        <w:t>所有</w:t>
      </w:r>
      <w:r>
        <w:rPr>
          <w:rFonts w:hint="eastAsia" w:asciiTheme="minorEastAsia" w:hAnsiTheme="minorEastAsia" w:eastAsiaTheme="minorEastAsia" w:cstheme="minorEastAsia"/>
          <w:sz w:val="24"/>
          <w:szCs w:val="24"/>
          <w:highlight w:val="none"/>
          <w:lang w:val="zh-TW"/>
        </w:rPr>
        <w:t>，</w:t>
      </w:r>
      <w:r>
        <w:rPr>
          <w:rFonts w:hint="eastAsia" w:asciiTheme="minorEastAsia" w:hAnsiTheme="minorEastAsia" w:eastAsiaTheme="minorEastAsia" w:cstheme="minorEastAsia"/>
          <w:sz w:val="24"/>
          <w:szCs w:val="24"/>
          <w:highlight w:val="none"/>
        </w:rPr>
        <w:t>未经甲方书面同意，乙方不得以履行本合同以外的目的使用。</w:t>
      </w:r>
    </w:p>
    <w:p w14:paraId="4ECF2BF9">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lang w:eastAsia="zh-TW"/>
        </w:rPr>
      </w:pPr>
      <w:r>
        <w:rPr>
          <w:rFonts w:hint="eastAsia" w:asciiTheme="minorEastAsia" w:hAnsiTheme="minorEastAsia" w:eastAsiaTheme="minorEastAsia" w:cstheme="minorEastAsia"/>
          <w:sz w:val="24"/>
          <w:szCs w:val="24"/>
          <w:highlight w:val="none"/>
        </w:rPr>
        <w:t>涉及第三方权益（包括但不限于肖像权、姓名权及其他权利）的，经双方协商一致的，乙方应安排达人配合甲方要求出具授权书，甲、乙双方均不得超出第三方</w:t>
      </w:r>
      <w:r>
        <w:rPr>
          <w:rFonts w:hint="eastAsia" w:asciiTheme="minorEastAsia" w:hAnsiTheme="minorEastAsia" w:eastAsiaTheme="minorEastAsia" w:cstheme="minorEastAsia"/>
          <w:sz w:val="24"/>
          <w:highlight w:val="none"/>
        </w:rPr>
        <w:t>授权范围及使用方式进行使用。</w:t>
      </w:r>
    </w:p>
    <w:p w14:paraId="67BA3069">
      <w:pPr>
        <w:pStyle w:val="14"/>
        <w:numPr>
          <w:ilvl w:val="0"/>
          <w:numId w:val="1"/>
        </w:numPr>
        <w:adjustRightInd w:val="0"/>
        <w:snapToGrid w:val="0"/>
        <w:spacing w:before="156" w:beforeLines="50" w:after="156" w:afterLines="50" w:line="440" w:lineRule="exact"/>
        <w:ind w:left="840" w:hanging="420" w:firstLineChars="0"/>
        <w:rPr>
          <w:rFonts w:asciiTheme="minorEastAsia" w:hAnsiTheme="minorEastAsia" w:eastAsiaTheme="minorEastAsia" w:cstheme="minorEastAsia"/>
          <w:b/>
          <w:bCs/>
          <w:sz w:val="24"/>
          <w:szCs w:val="24"/>
          <w:highlight w:val="none"/>
          <w:lang w:val="zh-TW" w:eastAsia="zh-TW"/>
        </w:rPr>
      </w:pPr>
      <w:r>
        <w:rPr>
          <w:rFonts w:hint="eastAsia" w:asciiTheme="minorEastAsia" w:hAnsiTheme="minorEastAsia" w:eastAsiaTheme="minorEastAsia" w:cstheme="minorEastAsia"/>
          <w:b/>
          <w:sz w:val="24"/>
          <w:highlight w:val="none"/>
        </w:rPr>
        <w:t>保密</w:t>
      </w:r>
      <w:r>
        <w:rPr>
          <w:rFonts w:hint="eastAsia" w:asciiTheme="minorEastAsia" w:hAnsiTheme="minorEastAsia" w:eastAsiaTheme="minorEastAsia" w:cstheme="minorEastAsia"/>
          <w:b/>
          <w:sz w:val="24"/>
          <w:szCs w:val="24"/>
          <w:highlight w:val="none"/>
        </w:rPr>
        <w:t>义务</w:t>
      </w:r>
    </w:p>
    <w:p w14:paraId="549A47B2">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szCs w:val="24"/>
          <w:highlight w:val="none"/>
          <w:lang w:val="zh-TW" w:eastAsia="zh-TW"/>
        </w:rPr>
      </w:pPr>
      <w:r>
        <w:rPr>
          <w:rFonts w:hint="eastAsia" w:asciiTheme="minorEastAsia" w:hAnsiTheme="minorEastAsia" w:eastAsiaTheme="minorEastAsia" w:cstheme="minorEastAsia"/>
          <w:sz w:val="24"/>
          <w:highlight w:val="none"/>
        </w:rPr>
        <w:t>无论披露方是否事先声明或明示</w:t>
      </w:r>
      <w:r>
        <w:rPr>
          <w:rFonts w:hint="eastAsia" w:asciiTheme="minorEastAsia" w:hAnsiTheme="minorEastAsia" w:eastAsiaTheme="minorEastAsia" w:cstheme="minorEastAsia"/>
          <w:sz w:val="24"/>
          <w:szCs w:val="24"/>
          <w:highlight w:val="none"/>
          <w:lang w:val="zh-TW"/>
        </w:rPr>
        <w:t>，签订及履行本合同过程中披露方以任何形式向接收方提供的所有经营数据、财务信息、客户数据、技术秘密及其他无法通过公开渠道获取的资料、信息等均为保密信息，接收方应采取合理措施保护该等保密信息免受公开、披露。未经披露方事先书面同意，接收方不得向任何第三方披露，也不得以任何方式用于履行本合同以外的目的。</w:t>
      </w:r>
    </w:p>
    <w:p w14:paraId="1F23B84F">
      <w:pPr>
        <w:pStyle w:val="14"/>
        <w:numPr>
          <w:ilvl w:val="0"/>
          <w:numId w:val="1"/>
        </w:numPr>
        <w:adjustRightInd w:val="0"/>
        <w:snapToGrid w:val="0"/>
        <w:spacing w:before="156" w:beforeLines="50" w:after="156" w:afterLines="50" w:line="440" w:lineRule="exact"/>
        <w:ind w:left="840" w:hanging="420" w:firstLineChars="0"/>
        <w:rPr>
          <w:rFonts w:asciiTheme="minorEastAsia" w:hAnsiTheme="minorEastAsia" w:eastAsiaTheme="minorEastAsia" w:cstheme="minorEastAsia"/>
          <w:b/>
          <w:sz w:val="24"/>
          <w:highlight w:val="none"/>
        </w:rPr>
      </w:pPr>
      <w:r>
        <w:rPr>
          <w:rFonts w:hint="eastAsia" w:asciiTheme="minorEastAsia" w:hAnsiTheme="minorEastAsia" w:eastAsiaTheme="minorEastAsia" w:cstheme="minorEastAsia"/>
          <w:b/>
          <w:sz w:val="24"/>
          <w:highlight w:val="none"/>
        </w:rPr>
        <w:t>违约责任</w:t>
      </w:r>
    </w:p>
    <w:p w14:paraId="5A0702D6">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lang w:eastAsia="zh-TW"/>
        </w:rPr>
      </w:pPr>
      <w:r>
        <w:rPr>
          <w:rFonts w:hint="eastAsia" w:asciiTheme="minorEastAsia" w:hAnsiTheme="minorEastAsia" w:eastAsiaTheme="minorEastAsia" w:cstheme="minorEastAsia"/>
          <w:sz w:val="24"/>
          <w:highlight w:val="none"/>
        </w:rPr>
        <w:t>经双方协商一致可提前终止合同及/或执行单，双方按照下单平台有关规则据实结算。</w:t>
      </w:r>
    </w:p>
    <w:p w14:paraId="3FF87B5A">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lang w:eastAsia="zh-TW"/>
        </w:rPr>
      </w:pPr>
      <w:r>
        <w:rPr>
          <w:rFonts w:hint="eastAsia" w:asciiTheme="minorEastAsia" w:hAnsiTheme="minorEastAsia" w:eastAsiaTheme="minorEastAsia" w:cstheme="minorEastAsia"/>
          <w:sz w:val="24"/>
          <w:highlight w:val="none"/>
        </w:rPr>
        <w:t>双方应保证其提供</w:t>
      </w:r>
      <w:r>
        <w:rPr>
          <w:rFonts w:hint="eastAsia" w:asciiTheme="minorEastAsia" w:hAnsiTheme="minorEastAsia" w:eastAsiaTheme="minorEastAsia" w:cstheme="minorEastAsia"/>
          <w:sz w:val="24"/>
          <w:szCs w:val="24"/>
          <w:highlight w:val="none"/>
        </w:rPr>
        <w:t>创意、素材、基础材料</w:t>
      </w:r>
      <w:r>
        <w:rPr>
          <w:rFonts w:hint="eastAsia" w:asciiTheme="minorEastAsia" w:hAnsiTheme="minorEastAsia" w:eastAsiaTheme="minorEastAsia" w:cstheme="minorEastAsia"/>
          <w:sz w:val="24"/>
          <w:highlight w:val="none"/>
        </w:rPr>
        <w:t>等，且该等</w:t>
      </w:r>
      <w:r>
        <w:rPr>
          <w:rFonts w:hint="eastAsia" w:asciiTheme="minorEastAsia" w:hAnsiTheme="minorEastAsia" w:eastAsiaTheme="minorEastAsia" w:cstheme="minorEastAsia"/>
          <w:sz w:val="24"/>
          <w:szCs w:val="24"/>
          <w:highlight w:val="none"/>
        </w:rPr>
        <w:t>创意、素材、基础材料</w:t>
      </w:r>
      <w:r>
        <w:rPr>
          <w:rFonts w:hint="eastAsia" w:asciiTheme="minorEastAsia" w:hAnsiTheme="minorEastAsia" w:eastAsiaTheme="minorEastAsia" w:cstheme="minorEastAsia"/>
          <w:sz w:val="24"/>
          <w:highlight w:val="none"/>
        </w:rPr>
        <w:t>等合法、真实及完整，不违反对其有约束力的规定，亦不侵犯第三方合法权益。任何一方违反本款约定的，应自行解决并承担所有责任，如守约方因此遭受任何直接经济损失的，违约方应承担全部赔偿责任。</w:t>
      </w:r>
    </w:p>
    <w:p w14:paraId="2DC869A6">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lang w:eastAsia="zh-TW"/>
        </w:rPr>
      </w:pPr>
      <w:r>
        <w:rPr>
          <w:rFonts w:hint="eastAsia" w:asciiTheme="minorEastAsia" w:hAnsiTheme="minorEastAsia" w:eastAsiaTheme="minorEastAsia" w:cstheme="minorEastAsia"/>
          <w:color w:val="000000"/>
          <w:sz w:val="24"/>
          <w:szCs w:val="24"/>
          <w:highlight w:val="none"/>
        </w:rPr>
        <w:t>甲方或甲方客户就各项目执行事宜向乙方提出合理改正意见而乙方及/或乙方达人无正当理由未落实执行、拒绝执行的，或者非因不可抗力及</w:t>
      </w:r>
      <w:r>
        <w:rPr>
          <w:rFonts w:hint="eastAsia" w:asciiTheme="minorEastAsia" w:hAnsiTheme="minorEastAsia" w:eastAsiaTheme="minorEastAsia" w:cstheme="minorEastAsia"/>
          <w:color w:val="000000"/>
          <w:sz w:val="24"/>
          <w:szCs w:val="24"/>
          <w:highlight w:val="none"/>
          <w:lang w:val="en-US" w:eastAsia="zh-CN"/>
        </w:rPr>
        <w:t>乙</w:t>
      </w:r>
      <w:r>
        <w:rPr>
          <w:rFonts w:hint="eastAsia" w:asciiTheme="minorEastAsia" w:hAnsiTheme="minorEastAsia" w:eastAsiaTheme="minorEastAsia" w:cstheme="minorEastAsia"/>
          <w:color w:val="000000"/>
          <w:sz w:val="24"/>
          <w:szCs w:val="24"/>
          <w:highlight w:val="none"/>
        </w:rPr>
        <w:t>方原因导致工作成果不符合要求的，甲方有权要求乙方将该项目的已收取款项全部退还给甲方，给甲方造成损失的乙方还应承担赔偿责任。</w:t>
      </w:r>
    </w:p>
    <w:p w14:paraId="6D176B2F">
      <w:pPr>
        <w:pStyle w:val="14"/>
        <w:numPr>
          <w:ilvl w:val="0"/>
          <w:numId w:val="1"/>
        </w:numPr>
        <w:adjustRightInd w:val="0"/>
        <w:snapToGrid w:val="0"/>
        <w:spacing w:before="156" w:beforeLines="50" w:after="156" w:afterLines="50" w:line="440" w:lineRule="exact"/>
        <w:ind w:left="840" w:hanging="420" w:firstLineChars="0"/>
        <w:rPr>
          <w:rFonts w:asciiTheme="minorEastAsia" w:hAnsiTheme="minorEastAsia" w:eastAsiaTheme="minorEastAsia" w:cstheme="minorEastAsia"/>
          <w:b/>
          <w:sz w:val="24"/>
          <w:highlight w:val="none"/>
        </w:rPr>
      </w:pPr>
      <w:r>
        <w:rPr>
          <w:rFonts w:hint="eastAsia" w:asciiTheme="minorEastAsia" w:hAnsiTheme="minorEastAsia" w:eastAsiaTheme="minorEastAsia" w:cstheme="minorEastAsia"/>
          <w:b/>
          <w:sz w:val="24"/>
          <w:highlight w:val="none"/>
        </w:rPr>
        <w:t>不可抗力</w:t>
      </w:r>
    </w:p>
    <w:p w14:paraId="55DFC39F">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本合同所称的不可抗力是指一切不可预见、不可避免并不能克服的客观情况，包括但不限于洪水、地震、飓风、火灾等自然灾害及战争、动乱等情况，以及政府对本合同订立时有效之相关法律、行政法规、政策等进行修订、变更、废止，或颁布新的法律、行政法规、政策以取代原有法律、行政法规、政策或使原有法律、行政法规、政策处于废止状态，从而最终导致本合同无法继续履行。</w:t>
      </w:r>
    </w:p>
    <w:p w14:paraId="6193D312">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因不可抗力或者国家政策法律的变化而致使本合同中任何一方或双方部分或全部不能履行本合同的，遭受不可抗力的一方无需向对方承担违约责任，但应及时通知对方不可抗力的发生情况并提交不可抗力合法证明材料。</w:t>
      </w:r>
    </w:p>
    <w:p w14:paraId="18B8442E">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如不可抗力情况消失后，本合同仍有必要履行且具备继续履行条件，双方应继续履行本合同；如因不可抗力导致本合同没有必要或无法继续履行的，则本合同任何一方均有权提出终止本合同，且双方互不承担违约责任。</w:t>
      </w:r>
    </w:p>
    <w:p w14:paraId="0D1F87FB">
      <w:pPr>
        <w:pStyle w:val="14"/>
        <w:numPr>
          <w:ilvl w:val="1"/>
          <w:numId w:val="1"/>
        </w:numPr>
        <w:adjustRightInd w:val="0"/>
        <w:snapToGrid w:val="0"/>
        <w:spacing w:line="440" w:lineRule="exact"/>
        <w:ind w:left="1276" w:hanging="454" w:firstLineChars="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不可抗力不构成对甲方付款义务的豁免，双方应按甲方认可的乙方实际工作量、投入成本进行结算。</w:t>
      </w:r>
    </w:p>
    <w:p w14:paraId="2FA50BE6">
      <w:pPr>
        <w:pStyle w:val="14"/>
        <w:numPr>
          <w:ilvl w:val="0"/>
          <w:numId w:val="1"/>
        </w:numPr>
        <w:adjustRightInd w:val="0"/>
        <w:snapToGrid w:val="0"/>
        <w:spacing w:before="156" w:beforeLines="50" w:after="156" w:afterLines="50" w:line="440" w:lineRule="exact"/>
        <w:ind w:left="840" w:hanging="420" w:firstLineChars="0"/>
        <w:rPr>
          <w:rFonts w:asciiTheme="minorEastAsia" w:hAnsiTheme="minorEastAsia" w:eastAsiaTheme="minorEastAsia" w:cstheme="minorEastAsia"/>
          <w:b/>
          <w:sz w:val="24"/>
          <w:szCs w:val="24"/>
          <w:highlight w:val="none"/>
        </w:rPr>
      </w:pPr>
      <w:r>
        <w:rPr>
          <w:rFonts w:hint="eastAsia" w:asciiTheme="minorEastAsia" w:hAnsiTheme="minorEastAsia" w:eastAsiaTheme="minorEastAsia" w:cstheme="minorEastAsia"/>
          <w:b/>
          <w:sz w:val="24"/>
          <w:highlight w:val="none"/>
        </w:rPr>
        <w:t>通知</w:t>
      </w:r>
    </w:p>
    <w:p w14:paraId="16DD3DF4">
      <w:pPr>
        <w:pStyle w:val="14"/>
        <w:numPr>
          <w:ilvl w:val="1"/>
          <w:numId w:val="1"/>
        </w:numPr>
        <w:adjustRightInd w:val="0"/>
        <w:snapToGrid w:val="0"/>
        <w:spacing w:line="440" w:lineRule="exact"/>
        <w:ind w:left="1361" w:hanging="539" w:firstLineChars="0"/>
        <w:rPr>
          <w:rFonts w:asciiTheme="minorEastAsia" w:hAnsiTheme="minorEastAsia" w:eastAsiaTheme="minorEastAsia" w:cstheme="minorEastAsia"/>
          <w:spacing w:val="-4"/>
          <w:sz w:val="24"/>
          <w:szCs w:val="24"/>
          <w:highlight w:val="none"/>
        </w:rPr>
      </w:pPr>
      <w:r>
        <w:rPr>
          <w:rFonts w:hint="eastAsia" w:asciiTheme="minorEastAsia" w:hAnsiTheme="minorEastAsia" w:eastAsiaTheme="minorEastAsia" w:cstheme="minorEastAsia"/>
          <w:sz w:val="24"/>
          <w:szCs w:val="24"/>
          <w:highlight w:val="none"/>
        </w:rPr>
        <w:t>与本</w:t>
      </w:r>
      <w:r>
        <w:rPr>
          <w:rFonts w:hint="eastAsia" w:asciiTheme="minorEastAsia" w:hAnsiTheme="minorEastAsia" w:eastAsiaTheme="minorEastAsia" w:cstheme="minorEastAsia"/>
          <w:sz w:val="24"/>
          <w:highlight w:val="none"/>
        </w:rPr>
        <w:t>合同有关的</w:t>
      </w:r>
      <w:r>
        <w:rPr>
          <w:rFonts w:hint="eastAsia" w:asciiTheme="minorEastAsia" w:hAnsiTheme="minorEastAsia" w:eastAsiaTheme="minorEastAsia" w:cstheme="minorEastAsia"/>
          <w:snapToGrid w:val="0"/>
          <w:sz w:val="24"/>
          <w:szCs w:val="24"/>
          <w:highlight w:val="none"/>
        </w:rPr>
        <w:t>所有</w:t>
      </w:r>
      <w:r>
        <w:rPr>
          <w:rFonts w:hint="eastAsia" w:asciiTheme="minorEastAsia" w:hAnsiTheme="minorEastAsia" w:eastAsiaTheme="minorEastAsia" w:cstheme="minorEastAsia"/>
          <w:sz w:val="24"/>
          <w:szCs w:val="24"/>
          <w:highlight w:val="none"/>
        </w:rPr>
        <w:t>通知、函件、沟通意见</w:t>
      </w:r>
      <w:r>
        <w:rPr>
          <w:rFonts w:hint="eastAsia" w:asciiTheme="minorEastAsia" w:hAnsiTheme="minorEastAsia" w:eastAsiaTheme="minorEastAsia" w:cstheme="minorEastAsia"/>
          <w:spacing w:val="-4"/>
          <w:sz w:val="24"/>
          <w:szCs w:val="24"/>
          <w:highlight w:val="none"/>
        </w:rPr>
        <w:t>或其他通讯往来</w:t>
      </w:r>
      <w:r>
        <w:rPr>
          <w:rFonts w:hint="eastAsia" w:asciiTheme="minorEastAsia" w:hAnsiTheme="minorEastAsia" w:eastAsiaTheme="minorEastAsia" w:cstheme="minorEastAsia"/>
          <w:sz w:val="24"/>
          <w:szCs w:val="24"/>
          <w:highlight w:val="none"/>
        </w:rPr>
        <w:t>以本合同首部所列双方联系方式</w:t>
      </w:r>
      <w:r>
        <w:rPr>
          <w:rFonts w:hint="eastAsia" w:asciiTheme="minorEastAsia" w:hAnsiTheme="minorEastAsia" w:eastAsiaTheme="minorEastAsia" w:cstheme="minorEastAsia"/>
          <w:spacing w:val="-4"/>
          <w:sz w:val="24"/>
          <w:szCs w:val="24"/>
          <w:highlight w:val="none"/>
        </w:rPr>
        <w:t>送达，</w:t>
      </w:r>
      <w:r>
        <w:rPr>
          <w:rFonts w:hint="eastAsia" w:asciiTheme="minorEastAsia" w:hAnsiTheme="minorEastAsia" w:eastAsiaTheme="minorEastAsia" w:cstheme="minorEastAsia"/>
          <w:sz w:val="24"/>
          <w:szCs w:val="24"/>
          <w:highlight w:val="none"/>
        </w:rPr>
        <w:t>与每个推广项目有关的沟通意见则以该项目执行单所列联系方式送达。</w:t>
      </w:r>
    </w:p>
    <w:p w14:paraId="17B16086">
      <w:pPr>
        <w:pStyle w:val="14"/>
        <w:numPr>
          <w:ilvl w:val="1"/>
          <w:numId w:val="1"/>
        </w:numPr>
        <w:adjustRightInd w:val="0"/>
        <w:snapToGrid w:val="0"/>
        <w:spacing w:line="440" w:lineRule="exact"/>
        <w:ind w:left="1361" w:hanging="539" w:firstLineChars="0"/>
        <w:rPr>
          <w:rFonts w:asciiTheme="minorEastAsia" w:hAnsiTheme="minorEastAsia" w:eastAsiaTheme="minorEastAsia" w:cstheme="minorEastAsia"/>
          <w:spacing w:val="-4"/>
          <w:sz w:val="24"/>
          <w:szCs w:val="24"/>
          <w:highlight w:val="none"/>
          <w:lang w:eastAsia="zh-TW"/>
        </w:rPr>
      </w:pPr>
      <w:r>
        <w:rPr>
          <w:rFonts w:hint="eastAsia" w:asciiTheme="minorEastAsia" w:hAnsiTheme="minorEastAsia" w:eastAsiaTheme="minorEastAsia" w:cstheme="minorEastAsia"/>
          <w:spacing w:val="-4"/>
          <w:sz w:val="24"/>
          <w:szCs w:val="24"/>
          <w:highlight w:val="none"/>
        </w:rPr>
        <w:t>任何一方的联系方式发生</w:t>
      </w:r>
      <w:r>
        <w:rPr>
          <w:rFonts w:hint="eastAsia" w:asciiTheme="minorEastAsia" w:hAnsiTheme="minorEastAsia" w:eastAsiaTheme="minorEastAsia" w:cstheme="minorEastAsia"/>
          <w:snapToGrid w:val="0"/>
          <w:sz w:val="24"/>
          <w:szCs w:val="24"/>
          <w:highlight w:val="none"/>
        </w:rPr>
        <w:t>变更</w:t>
      </w:r>
      <w:r>
        <w:rPr>
          <w:rFonts w:hint="eastAsia" w:asciiTheme="minorEastAsia" w:hAnsiTheme="minorEastAsia" w:eastAsiaTheme="minorEastAsia" w:cstheme="minorEastAsia"/>
          <w:spacing w:val="-4"/>
          <w:sz w:val="24"/>
          <w:szCs w:val="24"/>
          <w:highlight w:val="none"/>
        </w:rPr>
        <w:t>的，变更方应在变更前三（3）日以书面形式通知对方。变更方未及时通知的，应承担由此造成的一切不利后果。</w:t>
      </w:r>
    </w:p>
    <w:p w14:paraId="0D0DAD51">
      <w:pPr>
        <w:pStyle w:val="14"/>
        <w:numPr>
          <w:ilvl w:val="1"/>
          <w:numId w:val="1"/>
        </w:numPr>
        <w:adjustRightInd w:val="0"/>
        <w:snapToGrid w:val="0"/>
        <w:spacing w:line="440" w:lineRule="exact"/>
        <w:ind w:left="1361" w:hanging="539" w:firstLineChars="0"/>
        <w:rPr>
          <w:rFonts w:asciiTheme="minorEastAsia" w:hAnsiTheme="minorEastAsia" w:eastAsiaTheme="minorEastAsia" w:cstheme="minorEastAsia"/>
          <w:spacing w:val="-4"/>
          <w:sz w:val="24"/>
          <w:szCs w:val="24"/>
          <w:highlight w:val="none"/>
        </w:rPr>
      </w:pPr>
      <w:r>
        <w:rPr>
          <w:rFonts w:hint="eastAsia" w:asciiTheme="minorEastAsia" w:hAnsiTheme="minorEastAsia" w:eastAsiaTheme="minorEastAsia" w:cstheme="minorEastAsia"/>
          <w:spacing w:val="-4"/>
          <w:sz w:val="24"/>
          <w:szCs w:val="24"/>
          <w:highlight w:val="none"/>
        </w:rPr>
        <w:t>通知在</w:t>
      </w:r>
      <w:r>
        <w:rPr>
          <w:rFonts w:hint="eastAsia" w:asciiTheme="minorEastAsia" w:hAnsiTheme="minorEastAsia" w:eastAsiaTheme="minorEastAsia" w:cstheme="minorEastAsia"/>
          <w:sz w:val="24"/>
          <w:highlight w:val="none"/>
        </w:rPr>
        <w:t>下列</w:t>
      </w:r>
      <w:r>
        <w:rPr>
          <w:rFonts w:hint="eastAsia" w:asciiTheme="minorEastAsia" w:hAnsiTheme="minorEastAsia" w:eastAsiaTheme="minorEastAsia" w:cstheme="minorEastAsia"/>
          <w:spacing w:val="-4"/>
          <w:sz w:val="24"/>
          <w:szCs w:val="24"/>
          <w:highlight w:val="none"/>
        </w:rPr>
        <w:t>时间应被</w:t>
      </w:r>
      <w:r>
        <w:rPr>
          <w:rFonts w:hint="eastAsia" w:asciiTheme="minorEastAsia" w:hAnsiTheme="minorEastAsia" w:eastAsiaTheme="minorEastAsia" w:cstheme="minorEastAsia"/>
          <w:sz w:val="24"/>
          <w:szCs w:val="24"/>
          <w:highlight w:val="none"/>
        </w:rPr>
        <w:t>视为</w:t>
      </w:r>
      <w:r>
        <w:rPr>
          <w:rFonts w:hint="eastAsia" w:asciiTheme="minorEastAsia" w:hAnsiTheme="minorEastAsia" w:eastAsiaTheme="minorEastAsia" w:cstheme="minorEastAsia"/>
          <w:spacing w:val="-4"/>
          <w:sz w:val="24"/>
          <w:szCs w:val="24"/>
          <w:highlight w:val="none"/>
        </w:rPr>
        <w:t>已送达：</w:t>
      </w:r>
    </w:p>
    <w:p w14:paraId="6C31E3B7">
      <w:pPr>
        <w:pStyle w:val="14"/>
        <w:numPr>
          <w:ilvl w:val="2"/>
          <w:numId w:val="1"/>
        </w:numPr>
        <w:adjustRightInd w:val="0"/>
        <w:snapToGrid w:val="0"/>
        <w:spacing w:line="440" w:lineRule="exact"/>
        <w:ind w:left="2013" w:hanging="709" w:firstLineChars="0"/>
        <w:rPr>
          <w:rFonts w:asciiTheme="minorEastAsia" w:hAnsiTheme="minorEastAsia" w:eastAsiaTheme="minorEastAsia" w:cstheme="minorEastAsia"/>
          <w:spacing w:val="-4"/>
          <w:sz w:val="24"/>
          <w:szCs w:val="24"/>
          <w:highlight w:val="none"/>
        </w:rPr>
      </w:pPr>
      <w:r>
        <w:rPr>
          <w:rFonts w:hint="eastAsia" w:asciiTheme="minorEastAsia" w:hAnsiTheme="minorEastAsia" w:eastAsiaTheme="minorEastAsia" w:cstheme="minorEastAsia"/>
          <w:spacing w:val="-4"/>
          <w:sz w:val="24"/>
          <w:szCs w:val="24"/>
          <w:highlight w:val="none"/>
        </w:rPr>
        <w:t>以专人递送的，则在交付时；</w:t>
      </w:r>
    </w:p>
    <w:p w14:paraId="6BA6CA2B">
      <w:pPr>
        <w:pStyle w:val="14"/>
        <w:numPr>
          <w:ilvl w:val="2"/>
          <w:numId w:val="1"/>
        </w:numPr>
        <w:adjustRightInd w:val="0"/>
        <w:snapToGrid w:val="0"/>
        <w:spacing w:line="440" w:lineRule="exact"/>
        <w:ind w:left="2013" w:hanging="709" w:firstLineChars="0"/>
        <w:rPr>
          <w:rFonts w:asciiTheme="minorEastAsia" w:hAnsiTheme="minorEastAsia" w:eastAsiaTheme="minorEastAsia" w:cstheme="minorEastAsia"/>
          <w:spacing w:val="-4"/>
          <w:sz w:val="24"/>
          <w:szCs w:val="24"/>
          <w:highlight w:val="none"/>
        </w:rPr>
      </w:pPr>
      <w:r>
        <w:rPr>
          <w:rFonts w:hint="eastAsia" w:asciiTheme="minorEastAsia" w:hAnsiTheme="minorEastAsia" w:eastAsiaTheme="minorEastAsia" w:cstheme="minorEastAsia"/>
          <w:spacing w:val="-4"/>
          <w:sz w:val="24"/>
          <w:szCs w:val="24"/>
          <w:highlight w:val="none"/>
        </w:rPr>
        <w:t>以快递</w:t>
      </w:r>
      <w:r>
        <w:rPr>
          <w:rFonts w:hint="eastAsia" w:asciiTheme="minorEastAsia" w:hAnsiTheme="minorEastAsia" w:eastAsiaTheme="minorEastAsia" w:cstheme="minorEastAsia"/>
          <w:sz w:val="24"/>
          <w:highlight w:val="none"/>
        </w:rPr>
        <w:t>递送</w:t>
      </w:r>
      <w:r>
        <w:rPr>
          <w:rFonts w:hint="eastAsia" w:asciiTheme="minorEastAsia" w:hAnsiTheme="minorEastAsia" w:eastAsiaTheme="minorEastAsia" w:cstheme="minorEastAsia"/>
          <w:spacing w:val="-4"/>
          <w:sz w:val="24"/>
          <w:szCs w:val="24"/>
          <w:highlight w:val="none"/>
        </w:rPr>
        <w:t>的，则在</w:t>
      </w:r>
      <w:r>
        <w:rPr>
          <w:rFonts w:hint="eastAsia" w:asciiTheme="minorEastAsia" w:hAnsiTheme="minorEastAsia" w:eastAsiaTheme="minorEastAsia" w:cstheme="minorEastAsia"/>
          <w:sz w:val="24"/>
          <w:szCs w:val="24"/>
          <w:highlight w:val="none"/>
        </w:rPr>
        <w:t>发送</w:t>
      </w:r>
      <w:r>
        <w:rPr>
          <w:rFonts w:hint="eastAsia" w:asciiTheme="minorEastAsia" w:hAnsiTheme="minorEastAsia" w:eastAsiaTheme="minorEastAsia" w:cstheme="minorEastAsia"/>
          <w:spacing w:val="-4"/>
          <w:sz w:val="24"/>
          <w:szCs w:val="24"/>
          <w:highlight w:val="none"/>
        </w:rPr>
        <w:t>日后的第五（5）日；</w:t>
      </w:r>
    </w:p>
    <w:p w14:paraId="2F574052">
      <w:pPr>
        <w:pStyle w:val="14"/>
        <w:numPr>
          <w:ilvl w:val="2"/>
          <w:numId w:val="1"/>
        </w:numPr>
        <w:adjustRightInd w:val="0"/>
        <w:snapToGrid w:val="0"/>
        <w:spacing w:line="440" w:lineRule="exact"/>
        <w:ind w:left="2013" w:hanging="709" w:firstLineChars="0"/>
        <w:rPr>
          <w:rFonts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pacing w:val="-4"/>
          <w:sz w:val="24"/>
          <w:szCs w:val="24"/>
          <w:highlight w:val="none"/>
        </w:rPr>
        <w:t>以传真或电子邮件发出的，则在成功传送之日（以传真或电子邮件自动生成的传送确认信息为证）视为送达；</w:t>
      </w:r>
    </w:p>
    <w:p w14:paraId="77DCC1F6">
      <w:pPr>
        <w:pStyle w:val="14"/>
        <w:numPr>
          <w:ilvl w:val="2"/>
          <w:numId w:val="1"/>
        </w:numPr>
        <w:adjustRightInd w:val="0"/>
        <w:snapToGrid w:val="0"/>
        <w:spacing w:line="440" w:lineRule="exact"/>
        <w:ind w:left="2013" w:hanging="709" w:firstLineChars="0"/>
        <w:rPr>
          <w:rFonts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pacing w:val="-4"/>
          <w:sz w:val="24"/>
          <w:szCs w:val="24"/>
          <w:highlight w:val="none"/>
        </w:rPr>
        <w:t>以实时通讯工具发出的，则发出即视为送达。</w:t>
      </w:r>
    </w:p>
    <w:p w14:paraId="67227045">
      <w:pPr>
        <w:pStyle w:val="14"/>
        <w:numPr>
          <w:ilvl w:val="0"/>
          <w:numId w:val="1"/>
        </w:numPr>
        <w:adjustRightInd w:val="0"/>
        <w:snapToGrid w:val="0"/>
        <w:spacing w:before="156" w:beforeLines="50" w:after="156" w:afterLines="50" w:line="440" w:lineRule="exact"/>
        <w:ind w:left="840" w:hanging="420" w:firstLineChars="0"/>
        <w:rPr>
          <w:rFonts w:asciiTheme="minorEastAsia" w:hAnsiTheme="minorEastAsia" w:eastAsiaTheme="minorEastAsia" w:cstheme="minorEastAsia"/>
          <w:b/>
          <w:sz w:val="24"/>
          <w:szCs w:val="24"/>
          <w:highlight w:val="none"/>
        </w:rPr>
      </w:pPr>
      <w:r>
        <w:rPr>
          <w:rFonts w:hint="eastAsia" w:asciiTheme="minorEastAsia" w:hAnsiTheme="minorEastAsia" w:eastAsiaTheme="minorEastAsia" w:cstheme="minorEastAsia"/>
          <w:b/>
          <w:sz w:val="24"/>
          <w:highlight w:val="none"/>
        </w:rPr>
        <w:t>法律</w:t>
      </w:r>
      <w:r>
        <w:rPr>
          <w:rFonts w:hint="eastAsia" w:asciiTheme="minorEastAsia" w:hAnsiTheme="minorEastAsia" w:eastAsiaTheme="minorEastAsia" w:cstheme="minorEastAsia"/>
          <w:b/>
          <w:sz w:val="24"/>
          <w:szCs w:val="24"/>
          <w:highlight w:val="none"/>
        </w:rPr>
        <w:t>适用及</w:t>
      </w:r>
      <w:r>
        <w:rPr>
          <w:rFonts w:hint="eastAsia" w:asciiTheme="minorEastAsia" w:hAnsiTheme="minorEastAsia" w:eastAsiaTheme="minorEastAsia" w:cstheme="minorEastAsia"/>
          <w:b/>
          <w:color w:val="000000"/>
          <w:sz w:val="24"/>
          <w:szCs w:val="24"/>
          <w:highlight w:val="none"/>
        </w:rPr>
        <w:t>争议</w:t>
      </w:r>
      <w:r>
        <w:rPr>
          <w:rFonts w:hint="eastAsia" w:asciiTheme="minorEastAsia" w:hAnsiTheme="minorEastAsia" w:eastAsiaTheme="minorEastAsia" w:cstheme="minorEastAsia"/>
          <w:b/>
          <w:sz w:val="24"/>
          <w:szCs w:val="24"/>
          <w:highlight w:val="none"/>
        </w:rPr>
        <w:t>解决</w:t>
      </w:r>
    </w:p>
    <w:p w14:paraId="3FF22074">
      <w:pPr>
        <w:pStyle w:val="14"/>
        <w:numPr>
          <w:ilvl w:val="1"/>
          <w:numId w:val="1"/>
        </w:numPr>
        <w:adjustRightInd w:val="0"/>
        <w:snapToGrid w:val="0"/>
        <w:spacing w:line="440" w:lineRule="exact"/>
        <w:ind w:left="1361" w:hanging="539" w:firstLineChars="0"/>
        <w:rPr>
          <w:rFonts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本</w:t>
      </w:r>
      <w:r>
        <w:rPr>
          <w:rFonts w:hint="eastAsia" w:asciiTheme="minorEastAsia" w:hAnsiTheme="minorEastAsia" w:eastAsiaTheme="minorEastAsia" w:cstheme="minorEastAsia"/>
          <w:spacing w:val="-4"/>
          <w:sz w:val="24"/>
          <w:szCs w:val="24"/>
          <w:highlight w:val="none"/>
        </w:rPr>
        <w:t>合同</w:t>
      </w:r>
      <w:r>
        <w:rPr>
          <w:rFonts w:hint="eastAsia" w:asciiTheme="minorEastAsia" w:hAnsiTheme="minorEastAsia" w:eastAsiaTheme="minorEastAsia" w:cstheme="minorEastAsia"/>
          <w:sz w:val="24"/>
          <w:szCs w:val="24"/>
          <w:highlight w:val="none"/>
        </w:rPr>
        <w:t>的订立、效力、</w:t>
      </w:r>
      <w:r>
        <w:rPr>
          <w:rFonts w:hint="eastAsia" w:asciiTheme="minorEastAsia" w:hAnsiTheme="minorEastAsia" w:eastAsiaTheme="minorEastAsia" w:cstheme="minorEastAsia"/>
          <w:color w:val="000000"/>
          <w:sz w:val="24"/>
          <w:szCs w:val="24"/>
          <w:highlight w:val="none"/>
        </w:rPr>
        <w:t>执行</w:t>
      </w:r>
      <w:r>
        <w:rPr>
          <w:rFonts w:hint="eastAsia" w:asciiTheme="minorEastAsia" w:hAnsiTheme="minorEastAsia" w:eastAsiaTheme="minorEastAsia" w:cstheme="minorEastAsia"/>
          <w:sz w:val="24"/>
          <w:szCs w:val="24"/>
          <w:highlight w:val="none"/>
        </w:rPr>
        <w:t>和解释均适用中华人民共和国（不包括港、澳、台地区）法律。</w:t>
      </w:r>
    </w:p>
    <w:p w14:paraId="32DFA704">
      <w:pPr>
        <w:pStyle w:val="14"/>
        <w:numPr>
          <w:ilvl w:val="1"/>
          <w:numId w:val="1"/>
        </w:numPr>
        <w:adjustRightInd w:val="0"/>
        <w:snapToGrid w:val="0"/>
        <w:spacing w:line="440" w:lineRule="exact"/>
        <w:ind w:left="1361" w:hanging="539" w:firstLineChars="0"/>
        <w:rPr>
          <w:rFonts w:asciiTheme="minorEastAsia" w:hAnsiTheme="minorEastAsia" w:eastAsiaTheme="minorEastAsia" w:cstheme="minorEastAsia"/>
          <w:color w:val="00B050"/>
          <w:sz w:val="24"/>
          <w:szCs w:val="24"/>
          <w:highlight w:val="none"/>
        </w:rPr>
      </w:pPr>
      <w:r>
        <w:rPr>
          <w:rFonts w:hint="eastAsia" w:asciiTheme="minorEastAsia" w:hAnsiTheme="minorEastAsia" w:eastAsiaTheme="minorEastAsia" w:cstheme="minorEastAsia"/>
          <w:sz w:val="24"/>
          <w:szCs w:val="24"/>
          <w:highlight w:val="none"/>
        </w:rPr>
        <w:t>本</w:t>
      </w:r>
      <w:r>
        <w:rPr>
          <w:rFonts w:hint="eastAsia" w:asciiTheme="minorEastAsia" w:hAnsiTheme="minorEastAsia" w:eastAsiaTheme="minorEastAsia" w:cstheme="minorEastAsia"/>
          <w:spacing w:val="-4"/>
          <w:sz w:val="24"/>
          <w:szCs w:val="24"/>
          <w:highlight w:val="none"/>
        </w:rPr>
        <w:t>合同</w:t>
      </w:r>
      <w:r>
        <w:rPr>
          <w:rFonts w:hint="eastAsia" w:asciiTheme="minorEastAsia" w:hAnsiTheme="minorEastAsia" w:eastAsiaTheme="minorEastAsia" w:cstheme="minorEastAsia"/>
          <w:sz w:val="24"/>
          <w:szCs w:val="24"/>
          <w:highlight w:val="none"/>
        </w:rPr>
        <w:t>有关的争议，双方应友好协商解决；协商不成的，</w:t>
      </w:r>
      <w:r>
        <w:rPr>
          <w:rFonts w:hint="eastAsia" w:asciiTheme="minorEastAsia" w:hAnsiTheme="minorEastAsia" w:eastAsiaTheme="minorEastAsia" w:cstheme="minorEastAsia"/>
          <w:sz w:val="24"/>
          <w:szCs w:val="24"/>
          <w:highlight w:val="none"/>
          <w:lang w:val="en-US" w:eastAsia="zh-CN"/>
        </w:rPr>
        <w:t>任何一方均可向合同签订地的人民法院提起诉讼。</w:t>
      </w:r>
    </w:p>
    <w:p w14:paraId="122A6C55">
      <w:pPr>
        <w:pStyle w:val="14"/>
        <w:numPr>
          <w:ilvl w:val="0"/>
          <w:numId w:val="1"/>
        </w:numPr>
        <w:adjustRightInd w:val="0"/>
        <w:snapToGrid w:val="0"/>
        <w:spacing w:before="156" w:beforeLines="50" w:after="156" w:afterLines="50" w:line="440" w:lineRule="exact"/>
        <w:ind w:left="840" w:hanging="420" w:firstLineChars="0"/>
        <w:rPr>
          <w:rFonts w:asciiTheme="minorEastAsia" w:hAnsiTheme="minorEastAsia" w:eastAsiaTheme="minorEastAsia" w:cstheme="minorEastAsia"/>
          <w:b/>
          <w:sz w:val="24"/>
          <w:szCs w:val="24"/>
          <w:highlight w:val="none"/>
        </w:rPr>
      </w:pPr>
      <w:r>
        <w:rPr>
          <w:rFonts w:hint="eastAsia" w:asciiTheme="minorEastAsia" w:hAnsiTheme="minorEastAsia" w:eastAsiaTheme="minorEastAsia" w:cstheme="minorEastAsia"/>
          <w:b/>
          <w:sz w:val="24"/>
          <w:highlight w:val="none"/>
        </w:rPr>
        <w:t>其他</w:t>
      </w:r>
    </w:p>
    <w:p w14:paraId="5FC9E30B">
      <w:pPr>
        <w:pStyle w:val="14"/>
        <w:numPr>
          <w:ilvl w:val="1"/>
          <w:numId w:val="1"/>
        </w:numPr>
        <w:adjustRightInd w:val="0"/>
        <w:snapToGrid w:val="0"/>
        <w:spacing w:line="440" w:lineRule="exact"/>
        <w:ind w:left="1361" w:hanging="539" w:firstLineChars="0"/>
        <w:rPr>
          <w:rFonts w:asciiTheme="minorEastAsia" w:hAnsiTheme="minorEastAsia" w:eastAsiaTheme="minorEastAsia" w:cstheme="minorEastAsia"/>
          <w:color w:val="000000"/>
          <w:sz w:val="24"/>
          <w:highlight w:val="none"/>
        </w:rPr>
      </w:pPr>
      <w:r>
        <w:rPr>
          <w:rFonts w:hint="eastAsia" w:asciiTheme="minorEastAsia" w:hAnsiTheme="minorEastAsia" w:eastAsiaTheme="minorEastAsia" w:cstheme="minorEastAsia"/>
          <w:color w:val="000000"/>
          <w:sz w:val="24"/>
          <w:highlight w:val="none"/>
        </w:rPr>
        <w:t>本</w:t>
      </w:r>
      <w:r>
        <w:rPr>
          <w:rFonts w:hint="eastAsia" w:asciiTheme="minorEastAsia" w:hAnsiTheme="minorEastAsia" w:eastAsiaTheme="minorEastAsia" w:cstheme="minorEastAsia"/>
          <w:sz w:val="24"/>
          <w:highlight w:val="none"/>
        </w:rPr>
        <w:t>合同</w:t>
      </w:r>
      <w:r>
        <w:rPr>
          <w:rFonts w:hint="eastAsia" w:asciiTheme="minorEastAsia" w:hAnsiTheme="minorEastAsia" w:eastAsiaTheme="minorEastAsia" w:cstheme="minorEastAsia"/>
          <w:color w:val="000000"/>
          <w:sz w:val="24"/>
          <w:highlight w:val="none"/>
        </w:rPr>
        <w:t>未尽事宜由双方另行签订补充协议，补充协议与本合同具有同等法律效力，补充协议与本合同约定不一致的，以补充协议为准。</w:t>
      </w:r>
    </w:p>
    <w:p w14:paraId="45B78999">
      <w:pPr>
        <w:pStyle w:val="14"/>
        <w:numPr>
          <w:ilvl w:val="1"/>
          <w:numId w:val="1"/>
        </w:numPr>
        <w:adjustRightInd w:val="0"/>
        <w:snapToGrid w:val="0"/>
        <w:spacing w:line="440" w:lineRule="exact"/>
        <w:ind w:left="1361" w:hanging="539" w:firstLineChars="0"/>
        <w:rPr>
          <w:rFonts w:asciiTheme="minorEastAsia" w:hAnsiTheme="minorEastAsia" w:eastAsiaTheme="minorEastAsia" w:cstheme="minorEastAsia"/>
          <w:color w:val="000000"/>
          <w:sz w:val="24"/>
          <w:highlight w:val="none"/>
          <w:lang w:eastAsia="zh-TW"/>
        </w:rPr>
      </w:pPr>
      <w:r>
        <w:rPr>
          <w:rFonts w:hint="eastAsia" w:asciiTheme="minorEastAsia" w:hAnsiTheme="minorEastAsia" w:eastAsiaTheme="minorEastAsia" w:cstheme="minorEastAsia"/>
          <w:color w:val="000000"/>
          <w:sz w:val="24"/>
          <w:highlight w:val="none"/>
        </w:rPr>
        <w:t>本</w:t>
      </w:r>
      <w:r>
        <w:rPr>
          <w:rFonts w:hint="eastAsia" w:asciiTheme="minorEastAsia" w:hAnsiTheme="minorEastAsia" w:eastAsiaTheme="minorEastAsia" w:cstheme="minorEastAsia"/>
          <w:spacing w:val="-4"/>
          <w:sz w:val="24"/>
          <w:szCs w:val="24"/>
          <w:highlight w:val="none"/>
        </w:rPr>
        <w:t>合同</w:t>
      </w:r>
      <w:r>
        <w:rPr>
          <w:rFonts w:hint="eastAsia" w:asciiTheme="minorEastAsia" w:hAnsiTheme="minorEastAsia" w:eastAsiaTheme="minorEastAsia" w:cstheme="minorEastAsia"/>
          <w:color w:val="000000"/>
          <w:sz w:val="24"/>
          <w:highlight w:val="none"/>
        </w:rPr>
        <w:t>自甲、乙双方加盖公章或合同章后生效。</w:t>
      </w:r>
    </w:p>
    <w:p w14:paraId="63373D70">
      <w:pPr>
        <w:pStyle w:val="14"/>
        <w:numPr>
          <w:ilvl w:val="1"/>
          <w:numId w:val="1"/>
        </w:numPr>
        <w:adjustRightInd w:val="0"/>
        <w:snapToGrid w:val="0"/>
        <w:spacing w:line="440" w:lineRule="exact"/>
        <w:ind w:left="1361" w:hanging="539" w:firstLineChars="0"/>
        <w:rPr>
          <w:rFonts w:asciiTheme="minorEastAsia" w:hAnsiTheme="minorEastAsia" w:eastAsiaTheme="minorEastAsia" w:cstheme="minorEastAsia"/>
          <w:snapToGrid w:val="0"/>
          <w:sz w:val="24"/>
          <w:szCs w:val="24"/>
          <w:highlight w:val="none"/>
        </w:rPr>
      </w:pPr>
      <w:r>
        <w:rPr>
          <w:rFonts w:hint="eastAsia" w:asciiTheme="minorEastAsia" w:hAnsiTheme="minorEastAsia" w:eastAsiaTheme="minorEastAsia" w:cstheme="minorEastAsia"/>
          <w:sz w:val="24"/>
          <w:szCs w:val="24"/>
          <w:highlight w:val="none"/>
        </w:rPr>
        <w:t>本</w:t>
      </w:r>
      <w:r>
        <w:rPr>
          <w:rFonts w:hint="eastAsia" w:asciiTheme="minorEastAsia" w:hAnsiTheme="minorEastAsia" w:eastAsiaTheme="minorEastAsia" w:cstheme="minorEastAsia"/>
          <w:spacing w:val="-4"/>
          <w:sz w:val="24"/>
          <w:szCs w:val="24"/>
          <w:highlight w:val="none"/>
        </w:rPr>
        <w:t>合同</w:t>
      </w:r>
      <w:r>
        <w:rPr>
          <w:rFonts w:hint="eastAsia" w:asciiTheme="minorEastAsia" w:hAnsiTheme="minorEastAsia" w:eastAsiaTheme="minorEastAsia" w:cstheme="minorEastAsia"/>
          <w:color w:val="000000"/>
          <w:sz w:val="24"/>
          <w:highlight w:val="none"/>
        </w:rPr>
        <w:t>一式贰份</w:t>
      </w:r>
      <w:r>
        <w:rPr>
          <w:rFonts w:hint="eastAsia" w:asciiTheme="minorEastAsia" w:hAnsiTheme="minorEastAsia" w:eastAsiaTheme="minorEastAsia" w:cstheme="minorEastAsia"/>
          <w:sz w:val="24"/>
          <w:szCs w:val="24"/>
          <w:highlight w:val="none"/>
        </w:rPr>
        <w:t>，双方各执壹份，具有同等法律效力。</w:t>
      </w:r>
    </w:p>
    <w:p w14:paraId="72A375D5">
      <w:pPr>
        <w:adjustRightInd w:val="0"/>
        <w:snapToGrid w:val="0"/>
        <w:spacing w:line="440" w:lineRule="exact"/>
        <w:jc w:val="center"/>
        <w:rPr>
          <w:rFonts w:hint="eastAsia"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（以下无正文）</w:t>
      </w:r>
    </w:p>
    <w:p w14:paraId="208D6AC1">
      <w:pPr>
        <w:adjustRightInd w:val="0"/>
        <w:snapToGrid w:val="0"/>
        <w:spacing w:line="440" w:lineRule="exact"/>
        <w:jc w:val="both"/>
        <w:rPr>
          <w:rFonts w:hint="eastAsia" w:asciiTheme="minorEastAsia" w:hAnsiTheme="minorEastAsia" w:eastAsiaTheme="minorEastAsia" w:cstheme="minorEastAsia"/>
          <w:sz w:val="24"/>
          <w:highlight w:val="none"/>
        </w:rPr>
      </w:pPr>
    </w:p>
    <w:p w14:paraId="4AFA5C65">
      <w:pPr>
        <w:spacing w:line="440" w:lineRule="exact"/>
        <w:rPr>
          <w:rFonts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sz w:val="24"/>
          <w:highlight w:val="none"/>
        </w:rPr>
        <w:t>甲方：</w:t>
      </w:r>
      <w:r>
        <w:rPr>
          <w:rFonts w:hint="eastAsia" w:asciiTheme="minorEastAsia" w:hAnsiTheme="minorEastAsia" w:eastAsiaTheme="minorEastAsia" w:cstheme="minorEastAsia"/>
          <w:b/>
          <w:bCs/>
          <w:sz w:val="24"/>
          <w:highlight w:val="none"/>
          <w:lang w:eastAsia="zh-CN"/>
        </w:rPr>
        <w:t>聚玩互动（武汉）传媒有限公司</w:t>
      </w:r>
      <w:r>
        <w:rPr>
          <w:rFonts w:hint="eastAsia" w:asciiTheme="minorEastAsia" w:hAnsiTheme="minorEastAsia" w:eastAsiaTheme="minorEastAsia" w:cstheme="minorEastAsia"/>
          <w:b/>
          <w:bCs/>
          <w:sz w:val="24"/>
          <w:highlight w:val="none"/>
          <w:lang w:val="en-US" w:eastAsia="zh-CN"/>
        </w:rPr>
        <w:tab/>
      </w:r>
      <w:r>
        <w:rPr>
          <w:rFonts w:hint="eastAsia" w:asciiTheme="minorEastAsia" w:hAnsiTheme="minorEastAsia" w:eastAsiaTheme="minorEastAsia" w:cstheme="minorEastAsia"/>
          <w:b/>
          <w:bCs/>
          <w:sz w:val="24"/>
          <w:highlight w:val="none"/>
          <w:lang w:val="en-US" w:eastAsia="zh-CN"/>
        </w:rPr>
        <w:t xml:space="preserve">       </w:t>
      </w:r>
      <w:r>
        <w:rPr>
          <w:rFonts w:hint="eastAsia" w:asciiTheme="minorEastAsia" w:hAnsiTheme="minorEastAsia" w:eastAsiaTheme="minorEastAsia" w:cstheme="minorEastAsia"/>
          <w:b/>
          <w:bCs/>
          <w:sz w:val="24"/>
          <w:highlight w:val="none"/>
        </w:rPr>
        <w:t>乙方：</w:t>
      </w:r>
      <w:r>
        <w:rPr>
          <w:rFonts w:hint="eastAsia" w:asciiTheme="minorEastAsia" w:hAnsiTheme="minorEastAsia" w:eastAsiaTheme="minorEastAsia" w:cstheme="minorEastAsia"/>
          <w:b/>
          <w:bCs/>
          <w:sz w:val="24"/>
          <w:highlight w:val="none"/>
          <w:lang w:val="en-US" w:eastAsia="zh-CN"/>
        </w:rPr>
        <w:t>武汉鲜游科技有限公司</w:t>
      </w:r>
    </w:p>
    <w:p w14:paraId="31D0C567">
      <w:pPr>
        <w:adjustRightInd w:val="0"/>
        <w:snapToGrid w:val="0"/>
        <w:spacing w:line="440" w:lineRule="exact"/>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 xml:space="preserve">盖章：                                </w:t>
      </w:r>
      <w:r>
        <w:rPr>
          <w:rFonts w:hint="eastAsia" w:asciiTheme="minorEastAsia" w:hAnsiTheme="minorEastAsia" w:eastAsiaTheme="minorEastAsia" w:cstheme="minorEastAsia"/>
          <w:sz w:val="24"/>
          <w:highlight w:val="none"/>
          <w:lang w:val="en-US" w:eastAsia="zh-CN"/>
        </w:rPr>
        <w:tab/>
      </w:r>
      <w:r>
        <w:rPr>
          <w:rFonts w:hint="eastAsia" w:asciiTheme="minorEastAsia" w:hAnsiTheme="minorEastAsia" w:eastAsiaTheme="minorEastAsia" w:cstheme="minorEastAsia"/>
          <w:sz w:val="24"/>
          <w:highlight w:val="none"/>
          <w:lang w:val="en-US" w:eastAsia="zh-CN"/>
        </w:rPr>
        <w:tab/>
      </w:r>
      <w:r>
        <w:rPr>
          <w:rFonts w:hint="eastAsia" w:asciiTheme="minorEastAsia" w:hAnsiTheme="minorEastAsia" w:eastAsiaTheme="minorEastAsia" w:cstheme="minorEastAsia"/>
          <w:sz w:val="24"/>
          <w:highlight w:val="none"/>
        </w:rPr>
        <w:t>盖章：</w:t>
      </w:r>
    </w:p>
    <w:p w14:paraId="18B07E04">
      <w:pPr>
        <w:adjustRightInd w:val="0"/>
        <w:snapToGrid w:val="0"/>
        <w:spacing w:line="440" w:lineRule="exact"/>
        <w:rPr>
          <w:rFonts w:hint="eastAsia"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日期：</w:t>
      </w:r>
      <w:r>
        <w:rPr>
          <w:rFonts w:hint="eastAsia" w:asciiTheme="minorEastAsia" w:hAnsiTheme="minorEastAsia" w:eastAsiaTheme="minorEastAsia" w:cstheme="minorEastAsia"/>
          <w:sz w:val="24"/>
          <w:highlight w:val="none"/>
          <w:lang w:val="en-US" w:eastAsia="zh-CN"/>
        </w:rPr>
        <w:t>2024 年12 月13日</w:t>
      </w:r>
      <w:r>
        <w:rPr>
          <w:rFonts w:asciiTheme="minorEastAsia" w:hAnsiTheme="minorEastAsia" w:eastAsiaTheme="minorEastAsia" w:cstheme="minorEastAsia"/>
          <w:sz w:val="24"/>
          <w:highlight w:val="none"/>
        </w:rPr>
        <w:t xml:space="preserve">                  </w:t>
      </w:r>
      <w:r>
        <w:rPr>
          <w:rFonts w:hint="eastAsia" w:asciiTheme="minorEastAsia" w:hAnsiTheme="minorEastAsia" w:eastAsiaTheme="minorEastAsia" w:cstheme="minorEastAsia"/>
          <w:sz w:val="24"/>
          <w:highlight w:val="none"/>
          <w:lang w:val="en-US" w:eastAsia="zh-CN"/>
        </w:rPr>
        <w:tab/>
      </w:r>
      <w:r>
        <w:rPr>
          <w:rFonts w:hint="eastAsia" w:asciiTheme="minorEastAsia" w:hAnsiTheme="minorEastAsia" w:eastAsiaTheme="minorEastAsia" w:cstheme="minorEastAsia"/>
          <w:sz w:val="24"/>
          <w:highlight w:val="none"/>
        </w:rPr>
        <w:t>日期：</w:t>
      </w:r>
      <w:r>
        <w:rPr>
          <w:rFonts w:hint="eastAsia" w:asciiTheme="minorEastAsia" w:hAnsiTheme="minorEastAsia" w:eastAsiaTheme="minorEastAsia" w:cstheme="minorEastAsia"/>
          <w:sz w:val="24"/>
          <w:highlight w:val="none"/>
          <w:lang w:val="en-US" w:eastAsia="zh-CN"/>
        </w:rPr>
        <w:t>2024 年12 月13日</w:t>
      </w:r>
      <w:r>
        <w:rPr>
          <w:rFonts w:asciiTheme="minorEastAsia" w:hAnsiTheme="minorEastAsia" w:eastAsiaTheme="minorEastAsia" w:cstheme="minorEastAsia"/>
          <w:sz w:val="24"/>
          <w:highlight w:val="none"/>
        </w:rPr>
        <w:t xml:space="preserve"> </w:t>
      </w:r>
    </w:p>
    <w:sectPr>
      <w:headerReference r:id="rId4" w:type="first"/>
      <w:footerReference r:id="rId6" w:type="first"/>
      <w:headerReference r:id="rId3" w:type="default"/>
      <w:footerReference r:id="rId5" w:type="default"/>
      <w:pgSz w:w="11906" w:h="16838"/>
      <w:pgMar w:top="1134" w:right="1134" w:bottom="1134" w:left="1134" w:header="851" w:footer="850"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6DAC3">
    <w:pPr>
      <w:pStyle w:val="4"/>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66832472"/>
                          </w:sdtPr>
                          <w:sdtContent>
                            <w:p w14:paraId="35493831">
                              <w:pPr>
                                <w:pStyle w:val="4"/>
                                <w:jc w:val="center"/>
                              </w:pPr>
                              <w:r>
                                <w:fldChar w:fldCharType="begin"/>
                              </w:r>
                              <w:r>
                                <w:instrText xml:space="preserve">PAGE   \* MERGEFORMAT</w:instrText>
                              </w:r>
                              <w:r>
                                <w:fldChar w:fldCharType="separate"/>
                              </w:r>
                              <w:r>
                                <w:rPr>
                                  <w:lang w:val="zh-CN"/>
                                </w:rPr>
                                <w:t>8</w:t>
                              </w:r>
                              <w:r>
                                <w:fldChar w:fldCharType="end"/>
                              </w:r>
                            </w:p>
                          </w:sdtContent>
                        </w:sdt>
                        <w:p w14:paraId="364E8D23"/>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sdt>
                    <w:sdtPr>
                      <w:id w:val="666832472"/>
                    </w:sdtPr>
                    <w:sdtContent>
                      <w:p w14:paraId="35493831">
                        <w:pPr>
                          <w:pStyle w:val="4"/>
                          <w:jc w:val="center"/>
                        </w:pPr>
                        <w:r>
                          <w:fldChar w:fldCharType="begin"/>
                        </w:r>
                        <w:r>
                          <w:instrText xml:space="preserve">PAGE   \* MERGEFORMAT</w:instrText>
                        </w:r>
                        <w:r>
                          <w:fldChar w:fldCharType="separate"/>
                        </w:r>
                        <w:r>
                          <w:rPr>
                            <w:lang w:val="zh-CN"/>
                          </w:rPr>
                          <w:t>8</w:t>
                        </w:r>
                        <w:r>
                          <w:fldChar w:fldCharType="end"/>
                        </w:r>
                      </w:p>
                    </w:sdtContent>
                  </w:sdt>
                  <w:p w14:paraId="364E8D23"/>
                </w:txbxContent>
              </v:textbox>
            </v:shape>
          </w:pict>
        </mc:Fallback>
      </mc:AlternateContent>
    </w:r>
  </w:p>
  <w:p w14:paraId="2AFA40CC">
    <w:pPr>
      <w:pStyle w:val="4"/>
      <w:jc w:val="center"/>
      <w:rPr>
        <w:rFonts w:ascii="Times New Roman" w:hAnsi="Times New Roman" w:eastAsia="仿宋"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86B00">
    <w:pPr>
      <w:pStyle w:val="4"/>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303108657"/>
                          </w:sdtPr>
                          <w:sdtContent>
                            <w:p w14:paraId="615724FD">
                              <w:pPr>
                                <w:pStyle w:val="4"/>
                                <w:jc w:val="center"/>
                              </w:pPr>
                              <w:r>
                                <w:fldChar w:fldCharType="begin"/>
                              </w:r>
                              <w:r>
                                <w:instrText xml:space="preserve">PAGE   \* MERGEFORMAT</w:instrText>
                              </w:r>
                              <w:r>
                                <w:fldChar w:fldCharType="separate"/>
                              </w:r>
                              <w:r>
                                <w:rPr>
                                  <w:lang w:val="zh-CN"/>
                                </w:rPr>
                                <w:t>1</w:t>
                              </w:r>
                              <w:r>
                                <w:fldChar w:fldCharType="end"/>
                              </w:r>
                            </w:p>
                          </w:sdtContent>
                        </w:sdt>
                        <w:p w14:paraId="536B1B17"/>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sdt>
                    <w:sdtPr>
                      <w:id w:val="1303108657"/>
                    </w:sdtPr>
                    <w:sdtContent>
                      <w:p w14:paraId="615724FD">
                        <w:pPr>
                          <w:pStyle w:val="4"/>
                          <w:jc w:val="center"/>
                        </w:pPr>
                        <w:r>
                          <w:fldChar w:fldCharType="begin"/>
                        </w:r>
                        <w:r>
                          <w:instrText xml:space="preserve">PAGE   \* MERGEFORMAT</w:instrText>
                        </w:r>
                        <w:r>
                          <w:fldChar w:fldCharType="separate"/>
                        </w:r>
                        <w:r>
                          <w:rPr>
                            <w:lang w:val="zh-CN"/>
                          </w:rPr>
                          <w:t>1</w:t>
                        </w:r>
                        <w:r>
                          <w:fldChar w:fldCharType="end"/>
                        </w:r>
                      </w:p>
                    </w:sdtContent>
                  </w:sdt>
                  <w:p w14:paraId="536B1B17"/>
                </w:txbxContent>
              </v:textbox>
            </v:shape>
          </w:pict>
        </mc:Fallback>
      </mc:AlternateContent>
    </w:r>
  </w:p>
  <w:p w14:paraId="2555098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482F0">
    <w:pPr>
      <w:pStyle w:val="5"/>
      <w:ind w:firstLine="0" w:firstLineChars="0"/>
      <w:jc w:val="left"/>
      <w:rPr>
        <w:rFonts w:hint="default" w:eastAsia="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56C30">
    <w:pPr>
      <w:pStyle w:val="5"/>
      <w:ind w:firstLine="1980" w:firstLineChars="1100"/>
      <w:jc w:val="left"/>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3FBBA8"/>
    <w:multiLevelType w:val="singleLevel"/>
    <w:tmpl w:val="D23FBBA8"/>
    <w:lvl w:ilvl="0" w:tentative="0">
      <w:start w:val="1"/>
      <w:numFmt w:val="lowerLetter"/>
      <w:suff w:val="space"/>
      <w:lvlText w:val="%1."/>
      <w:lvlJc w:val="left"/>
      <w:rPr>
        <w:rFonts w:hint="default"/>
        <w:color w:val="000000" w:themeColor="text1"/>
        <w14:textFill>
          <w14:solidFill>
            <w14:schemeClr w14:val="tx1"/>
          </w14:solidFill>
        </w14:textFill>
      </w:rPr>
    </w:lvl>
  </w:abstractNum>
  <w:abstractNum w:abstractNumId="1">
    <w:nsid w:val="442F7BFD"/>
    <w:multiLevelType w:val="multilevel"/>
    <w:tmpl w:val="442F7BFD"/>
    <w:lvl w:ilvl="0" w:tentative="0">
      <w:start w:val="1"/>
      <w:numFmt w:val="decimal"/>
      <w:lvlText w:val="%1"/>
      <w:lvlJc w:val="left"/>
      <w:pPr>
        <w:ind w:left="425" w:hanging="425"/>
      </w:pPr>
      <w:rPr>
        <w:rFonts w:hint="eastAsia"/>
      </w:rPr>
    </w:lvl>
    <w:lvl w:ilvl="1" w:tentative="0">
      <w:start w:val="1"/>
      <w:numFmt w:val="decimal"/>
      <w:lvlText w:val="%1.%2"/>
      <w:lvlJc w:val="left"/>
      <w:pPr>
        <w:ind w:left="1843" w:hanging="567"/>
      </w:pPr>
      <w:rPr>
        <w:rFonts w:hint="default"/>
        <w:color w:val="auto"/>
      </w:rPr>
    </w:lvl>
    <w:lvl w:ilvl="2" w:tentative="0">
      <w:start w:val="1"/>
      <w:numFmt w:val="decimal"/>
      <w:lvlText w:val="%1.%2.%3"/>
      <w:lvlJc w:val="left"/>
      <w:pPr>
        <w:ind w:left="1657"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YwZDhkNTRiN2ZjNTQ0ZjFlZjU2MjFkMWY1MTVhNWQifQ=="/>
  </w:docVars>
  <w:rsids>
    <w:rsidRoot w:val="00CA5081"/>
    <w:rsid w:val="00010662"/>
    <w:rsid w:val="00031DC2"/>
    <w:rsid w:val="000E2B1C"/>
    <w:rsid w:val="00116BFB"/>
    <w:rsid w:val="0012635A"/>
    <w:rsid w:val="00153A09"/>
    <w:rsid w:val="001F2083"/>
    <w:rsid w:val="00205B82"/>
    <w:rsid w:val="00245EEA"/>
    <w:rsid w:val="00256BC7"/>
    <w:rsid w:val="00265A27"/>
    <w:rsid w:val="00270E0E"/>
    <w:rsid w:val="002B6223"/>
    <w:rsid w:val="0037161B"/>
    <w:rsid w:val="00405FC2"/>
    <w:rsid w:val="00406603"/>
    <w:rsid w:val="004218F9"/>
    <w:rsid w:val="00443794"/>
    <w:rsid w:val="00450998"/>
    <w:rsid w:val="00471E3F"/>
    <w:rsid w:val="00494411"/>
    <w:rsid w:val="004D581E"/>
    <w:rsid w:val="00504AC1"/>
    <w:rsid w:val="00587BA2"/>
    <w:rsid w:val="00663799"/>
    <w:rsid w:val="00672F37"/>
    <w:rsid w:val="006841FB"/>
    <w:rsid w:val="006C7EAE"/>
    <w:rsid w:val="006D7273"/>
    <w:rsid w:val="006E3BE9"/>
    <w:rsid w:val="007020AD"/>
    <w:rsid w:val="007A0F9E"/>
    <w:rsid w:val="007B3416"/>
    <w:rsid w:val="007D09F4"/>
    <w:rsid w:val="007D4AAD"/>
    <w:rsid w:val="008170A1"/>
    <w:rsid w:val="008B1E82"/>
    <w:rsid w:val="008C7E0A"/>
    <w:rsid w:val="00935FC6"/>
    <w:rsid w:val="00986647"/>
    <w:rsid w:val="009A4B5B"/>
    <w:rsid w:val="009C5188"/>
    <w:rsid w:val="009E0C25"/>
    <w:rsid w:val="00A21DA0"/>
    <w:rsid w:val="00A80B6E"/>
    <w:rsid w:val="00A9295E"/>
    <w:rsid w:val="00AC508C"/>
    <w:rsid w:val="00B12324"/>
    <w:rsid w:val="00B1666C"/>
    <w:rsid w:val="00B74E1F"/>
    <w:rsid w:val="00B831C3"/>
    <w:rsid w:val="00B91DEF"/>
    <w:rsid w:val="00BA2497"/>
    <w:rsid w:val="00BA4E34"/>
    <w:rsid w:val="00BA663F"/>
    <w:rsid w:val="00BF45F7"/>
    <w:rsid w:val="00C113AA"/>
    <w:rsid w:val="00C41103"/>
    <w:rsid w:val="00CA5081"/>
    <w:rsid w:val="00CC172D"/>
    <w:rsid w:val="00D95BFB"/>
    <w:rsid w:val="00DB3443"/>
    <w:rsid w:val="00E50867"/>
    <w:rsid w:val="00E5439F"/>
    <w:rsid w:val="00F665BA"/>
    <w:rsid w:val="010A6538"/>
    <w:rsid w:val="0117779C"/>
    <w:rsid w:val="042A0CA0"/>
    <w:rsid w:val="08512C9F"/>
    <w:rsid w:val="0A634F0B"/>
    <w:rsid w:val="0B9335CE"/>
    <w:rsid w:val="0EA12023"/>
    <w:rsid w:val="0F786E19"/>
    <w:rsid w:val="108B0D18"/>
    <w:rsid w:val="1212786A"/>
    <w:rsid w:val="137D1730"/>
    <w:rsid w:val="13E31A7F"/>
    <w:rsid w:val="175520A7"/>
    <w:rsid w:val="17FE3C92"/>
    <w:rsid w:val="1A3A17E5"/>
    <w:rsid w:val="1AF04599"/>
    <w:rsid w:val="1ED8781E"/>
    <w:rsid w:val="1EE53F9B"/>
    <w:rsid w:val="1F413615"/>
    <w:rsid w:val="20603048"/>
    <w:rsid w:val="20A36B88"/>
    <w:rsid w:val="21567FD2"/>
    <w:rsid w:val="21AB2DD4"/>
    <w:rsid w:val="21C62601"/>
    <w:rsid w:val="22697A57"/>
    <w:rsid w:val="22E824FF"/>
    <w:rsid w:val="233820F2"/>
    <w:rsid w:val="23F76A8F"/>
    <w:rsid w:val="260809E9"/>
    <w:rsid w:val="2C4635D8"/>
    <w:rsid w:val="2C8D7E9A"/>
    <w:rsid w:val="2F8F5CD7"/>
    <w:rsid w:val="30D71863"/>
    <w:rsid w:val="315F4BDD"/>
    <w:rsid w:val="35773495"/>
    <w:rsid w:val="366B7B99"/>
    <w:rsid w:val="37071EEC"/>
    <w:rsid w:val="3892015B"/>
    <w:rsid w:val="38975BFC"/>
    <w:rsid w:val="39FB0988"/>
    <w:rsid w:val="3A584C07"/>
    <w:rsid w:val="3C1665FF"/>
    <w:rsid w:val="3D8E3A72"/>
    <w:rsid w:val="40890521"/>
    <w:rsid w:val="414803DC"/>
    <w:rsid w:val="41E974C9"/>
    <w:rsid w:val="420E6F2F"/>
    <w:rsid w:val="43A90321"/>
    <w:rsid w:val="440B6792"/>
    <w:rsid w:val="44623562"/>
    <w:rsid w:val="45C0688F"/>
    <w:rsid w:val="46DC75FC"/>
    <w:rsid w:val="47121270"/>
    <w:rsid w:val="474D22A8"/>
    <w:rsid w:val="47D14C87"/>
    <w:rsid w:val="47D53C30"/>
    <w:rsid w:val="49425AD5"/>
    <w:rsid w:val="49523B82"/>
    <w:rsid w:val="4CC50311"/>
    <w:rsid w:val="4D6F4126"/>
    <w:rsid w:val="4DA114DA"/>
    <w:rsid w:val="4FD85C44"/>
    <w:rsid w:val="50B67110"/>
    <w:rsid w:val="51C42470"/>
    <w:rsid w:val="531E5D51"/>
    <w:rsid w:val="53FF4C46"/>
    <w:rsid w:val="5471167E"/>
    <w:rsid w:val="550716FA"/>
    <w:rsid w:val="55C11DC9"/>
    <w:rsid w:val="59D54959"/>
    <w:rsid w:val="5BC22E0D"/>
    <w:rsid w:val="5DED7EE9"/>
    <w:rsid w:val="5EC6502A"/>
    <w:rsid w:val="5EF3152F"/>
    <w:rsid w:val="5F2947DD"/>
    <w:rsid w:val="601341AE"/>
    <w:rsid w:val="60791B93"/>
    <w:rsid w:val="608932F3"/>
    <w:rsid w:val="61826B9A"/>
    <w:rsid w:val="643B209D"/>
    <w:rsid w:val="67B51A77"/>
    <w:rsid w:val="686B4D1A"/>
    <w:rsid w:val="68CA3301"/>
    <w:rsid w:val="691D60AC"/>
    <w:rsid w:val="69474BCD"/>
    <w:rsid w:val="6994390F"/>
    <w:rsid w:val="6A0C6886"/>
    <w:rsid w:val="6C2947E2"/>
    <w:rsid w:val="6C871509"/>
    <w:rsid w:val="6D3551E3"/>
    <w:rsid w:val="6E381B7F"/>
    <w:rsid w:val="6EA97E5C"/>
    <w:rsid w:val="6F0D4742"/>
    <w:rsid w:val="6F0F4A35"/>
    <w:rsid w:val="6FF375E1"/>
    <w:rsid w:val="706E4EB9"/>
    <w:rsid w:val="711352BB"/>
    <w:rsid w:val="73827FC9"/>
    <w:rsid w:val="754E7067"/>
    <w:rsid w:val="75D21A46"/>
    <w:rsid w:val="75D457BF"/>
    <w:rsid w:val="75EE3806"/>
    <w:rsid w:val="767A0AB8"/>
    <w:rsid w:val="76F37EC6"/>
    <w:rsid w:val="7743787C"/>
    <w:rsid w:val="791505C8"/>
    <w:rsid w:val="7967694A"/>
    <w:rsid w:val="79F0693F"/>
    <w:rsid w:val="7A344AD5"/>
    <w:rsid w:val="7A5A025C"/>
    <w:rsid w:val="7AC73B44"/>
    <w:rsid w:val="7B7F61CD"/>
    <w:rsid w:val="7DE764C3"/>
    <w:rsid w:val="7FC468A4"/>
    <w:rsid w:val="FBDD7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alloon Text"/>
    <w:basedOn w:val="1"/>
    <w:link w:val="18"/>
    <w:unhideWhenUsed/>
    <w:qFormat/>
    <w:uiPriority w:val="99"/>
    <w:rPr>
      <w:sz w:val="18"/>
      <w:szCs w:val="18"/>
    </w:rPr>
  </w:style>
  <w:style w:type="paragraph" w:styleId="4">
    <w:name w:val="footer"/>
    <w:basedOn w:val="1"/>
    <w:link w:val="12"/>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20"/>
    <w:unhideWhenUsed/>
    <w:qFormat/>
    <w:uiPriority w:val="99"/>
    <w:rPr>
      <w:b/>
      <w:bCs/>
    </w:rPr>
  </w:style>
  <w:style w:type="character" w:styleId="9">
    <w:name w:val="Emphasis"/>
    <w:basedOn w:val="8"/>
    <w:qFormat/>
    <w:uiPriority w:val="20"/>
    <w:rPr>
      <w:i/>
      <w:iCs/>
    </w:rPr>
  </w:style>
  <w:style w:type="character" w:styleId="10">
    <w:name w:val="Hyperlink"/>
    <w:basedOn w:val="8"/>
    <w:semiHidden/>
    <w:unhideWhenUsed/>
    <w:qFormat/>
    <w:uiPriority w:val="99"/>
    <w:rPr>
      <w:color w:val="0000FF"/>
      <w:u w:val="single"/>
    </w:rPr>
  </w:style>
  <w:style w:type="character" w:styleId="11">
    <w:name w:val="annotation reference"/>
    <w:basedOn w:val="8"/>
    <w:unhideWhenUsed/>
    <w:qFormat/>
    <w:uiPriority w:val="99"/>
    <w:rPr>
      <w:sz w:val="21"/>
      <w:szCs w:val="21"/>
    </w:rPr>
  </w:style>
  <w:style w:type="character" w:customStyle="1" w:styleId="12">
    <w:name w:val="页脚 字符"/>
    <w:basedOn w:val="8"/>
    <w:link w:val="4"/>
    <w:qFormat/>
    <w:uiPriority w:val="99"/>
    <w:rPr>
      <w:sz w:val="18"/>
      <w:szCs w:val="18"/>
    </w:rPr>
  </w:style>
  <w:style w:type="paragraph" w:customStyle="1" w:styleId="13">
    <w:name w:val="无间隔1"/>
    <w:link w:val="15"/>
    <w:qFormat/>
    <w:uiPriority w:val="1"/>
    <w:pPr>
      <w:widowControl w:val="0"/>
      <w:jc w:val="both"/>
    </w:pPr>
    <w:rPr>
      <w:rFonts w:ascii="Times New Roman" w:hAnsi="Times New Roman" w:eastAsia="宋体" w:cs="Times New Roman"/>
      <w:kern w:val="2"/>
      <w:sz w:val="21"/>
      <w:lang w:val="en-US" w:eastAsia="zh-CN" w:bidi="ar-SA"/>
    </w:rPr>
  </w:style>
  <w:style w:type="paragraph" w:customStyle="1" w:styleId="14">
    <w:name w:val="列出段落1"/>
    <w:basedOn w:val="1"/>
    <w:qFormat/>
    <w:uiPriority w:val="34"/>
    <w:pPr>
      <w:ind w:firstLine="420" w:firstLineChars="200"/>
    </w:pPr>
    <w:rPr>
      <w:rFonts w:ascii="Calibri" w:hAnsi="Calibri"/>
      <w:szCs w:val="22"/>
    </w:rPr>
  </w:style>
  <w:style w:type="character" w:customStyle="1" w:styleId="15">
    <w:name w:val="无间隔 字符"/>
    <w:basedOn w:val="8"/>
    <w:link w:val="13"/>
    <w:qFormat/>
    <w:uiPriority w:val="1"/>
    <w:rPr>
      <w:rFonts w:ascii="Times New Roman" w:hAnsi="Times New Roman" w:eastAsia="宋体" w:cs="Times New Roman"/>
      <w:szCs w:val="20"/>
    </w:rPr>
  </w:style>
  <w:style w:type="paragraph" w:customStyle="1" w:styleId="16">
    <w:name w:val="列表段落1"/>
    <w:basedOn w:val="1"/>
    <w:unhideWhenUsed/>
    <w:qFormat/>
    <w:uiPriority w:val="99"/>
    <w:pPr>
      <w:ind w:firstLine="420" w:firstLineChars="200"/>
    </w:pPr>
  </w:style>
  <w:style w:type="character" w:customStyle="1" w:styleId="17">
    <w:name w:val="页眉 字符"/>
    <w:basedOn w:val="8"/>
    <w:link w:val="5"/>
    <w:qFormat/>
    <w:uiPriority w:val="99"/>
    <w:rPr>
      <w:rFonts w:ascii="Times New Roman" w:hAnsi="Times New Roman" w:eastAsia="宋体" w:cs="Times New Roman"/>
      <w:sz w:val="18"/>
      <w:szCs w:val="18"/>
    </w:rPr>
  </w:style>
  <w:style w:type="character" w:customStyle="1" w:styleId="18">
    <w:name w:val="批注框文本 字符"/>
    <w:basedOn w:val="8"/>
    <w:link w:val="3"/>
    <w:semiHidden/>
    <w:qFormat/>
    <w:uiPriority w:val="99"/>
    <w:rPr>
      <w:rFonts w:ascii="Times New Roman" w:hAnsi="Times New Roman" w:eastAsia="宋体" w:cs="Times New Roman"/>
      <w:kern w:val="2"/>
      <w:sz w:val="18"/>
      <w:szCs w:val="18"/>
    </w:rPr>
  </w:style>
  <w:style w:type="character" w:customStyle="1" w:styleId="19">
    <w:name w:val="批注文字 字符"/>
    <w:basedOn w:val="8"/>
    <w:link w:val="2"/>
    <w:semiHidden/>
    <w:qFormat/>
    <w:uiPriority w:val="99"/>
    <w:rPr>
      <w:kern w:val="2"/>
      <w:sz w:val="21"/>
      <w:szCs w:val="24"/>
    </w:rPr>
  </w:style>
  <w:style w:type="character" w:customStyle="1" w:styleId="20">
    <w:name w:val="批注主题 字符"/>
    <w:basedOn w:val="19"/>
    <w:link w:val="6"/>
    <w:semiHidden/>
    <w:qFormat/>
    <w:uiPriority w:val="99"/>
    <w:rPr>
      <w:b/>
      <w:bCs/>
      <w:kern w:val="2"/>
      <w:sz w:val="21"/>
      <w:szCs w:val="24"/>
    </w:rPr>
  </w:style>
  <w:style w:type="paragraph" w:styleId="21">
    <w:name w:val="List Paragraph"/>
    <w:basedOn w:val="1"/>
    <w:qFormat/>
    <w:uiPriority w:val="99"/>
    <w:pPr>
      <w:ind w:firstLine="420" w:firstLineChars="200"/>
    </w:pPr>
  </w:style>
  <w:style w:type="paragraph" w:customStyle="1" w:styleId="22">
    <w:name w:val="修订1"/>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5055</Words>
  <Characters>5184</Characters>
  <Lines>42</Lines>
  <Paragraphs>12</Paragraphs>
  <TotalTime>0</TotalTime>
  <ScaleCrop>false</ScaleCrop>
  <LinksUpToDate>false</LinksUpToDate>
  <CharactersWithSpaces>5354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2022-04-22T05:59:00Z</dcterms:created>
  <dc:creator>丁岚</dc:creator>
  <cp:lastModifiedBy>出云</cp:lastModifiedBy>
  <dcterms:modified xsi:type="dcterms:W3CDTF">2024-12-19T07:09:26Z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95546D9D2FD240BFBAA6D924B417B259</vt:lpwstr>
  </property>
</Properties>
</file>