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rFonts w:ascii="PingFang SC" w:hAnsi="PingFang SC" w:cs="PingFang SC" w:eastAsia="PingFang SC"/>
          <w:sz w:val="40"/>
        </w:rPr>
        <w:t>平台架构</w:t>
      </w:r>
    </w:p>
    <w:p>
      <w:pPr>
        <w:jc w:val="left"/>
      </w:pPr>
      <w:r>
        <w:rPr>
          <w:rFonts w:ascii="PingFang SC" w:hAnsi="PingFang SC" w:cs="PingFang SC" w:eastAsia="PingFang SC"/>
          <w:sz w:val="24"/>
        </w:rPr>
        <w:t>平台由接入层、交易层和存储层组成。</w:t>
      </w:r>
    </w:p>
    <w:p>
      <w:pPr>
        <w:pStyle w:val="Heading2"/>
        <w:jc w:val="left"/>
      </w:pPr>
      <w:r>
        <w:rPr>
          <w:rFonts w:ascii="PingFang SC" w:hAnsi="PingFang SC" w:cs="PingFang SC" w:eastAsia="PingFang SC"/>
          <w:sz w:val="32"/>
        </w:rPr>
        <w:t>故障恢复</w:t>
      </w:r>
    </w:p>
    <w:p>
      <w:pPr>
        <w:jc w:val="left"/>
      </w:pPr>
      <w:r>
        <w:rPr>
          <w:rFonts w:ascii="PingFang SC" w:hAnsi="PingFang SC" w:cs="PingFang SC" w:eastAsia="PingFang SC"/>
          <w:sz w:val="24"/>
        </w:rPr>
        <w:t>发生故障后先隔离故障节点，再切换只读副本。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2026-08-04T01:19:43Z</dcterms:created>
  <dc:creator>Apache POI</dc:creator>
  <dc:title>星舟架构指南</dc:title>
</cp:coreProperties>
</file>