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600" w:lineRule="exact"/>
        <w:jc w:val="center"/>
        <w:outlineLvl w:val="0"/>
        <w:rPr>
          <w:rFonts w:ascii="Times New Roman" w:hAnsi="Times New Roman" w:eastAsia="方正小标宋简体" w:cstheme="minorBidi"/>
          <w:szCs w:val="32"/>
        </w:rPr>
      </w:pPr>
      <w:bookmarkStart w:id="14" w:name="_GoBack"/>
      <w:bookmarkEnd w:id="14"/>
      <w:r>
        <w:rPr>
          <w:rFonts w:hint="eastAsia" w:ascii="方正小标宋简体" w:hAnsi="方正小标宋简体" w:eastAsia="方正小标宋简体" w:cs="方正小标宋简体"/>
          <w:sz w:val="44"/>
          <w:szCs w:val="44"/>
          <w:lang w:val="en-US" w:eastAsia="zh-CN"/>
        </w:rPr>
        <w:t>基于气象数据的廊道预警与规划技术研发任务书</w:t>
      </w:r>
    </w:p>
    <w:p>
      <w:pPr>
        <w:pStyle w:val="2"/>
        <w:numPr>
          <w:ilvl w:val="0"/>
          <w:numId w:val="2"/>
        </w:numPr>
        <w:bidi w:val="0"/>
      </w:pPr>
      <w:bookmarkStart w:id="0" w:name="_Toc673934971"/>
      <w:bookmarkStart w:id="1" w:name="_Toc19421"/>
      <w:r>
        <w:t>范围</w:t>
      </w:r>
      <w:bookmarkEnd w:id="0"/>
      <w:bookmarkEnd w:id="1"/>
    </w:p>
    <w:p>
      <w:pPr>
        <w:pStyle w:val="3"/>
        <w:numPr>
          <w:ilvl w:val="1"/>
          <w:numId w:val="2"/>
        </w:numPr>
        <w:bidi w:val="0"/>
      </w:pPr>
      <w:bookmarkStart w:id="2" w:name="_Toc4110"/>
      <w:bookmarkStart w:id="3" w:name="_Toc996303319"/>
      <w:r>
        <w:rPr>
          <w:rFonts w:hint="eastAsia"/>
        </w:rPr>
        <w:t>标识</w:t>
      </w:r>
      <w:bookmarkEnd w:id="2"/>
      <w:bookmarkEnd w:id="3"/>
    </w:p>
    <w:p>
      <w:pPr>
        <w:pStyle w:val="14"/>
        <w:numPr>
          <w:ilvl w:val="0"/>
          <w:numId w:val="3"/>
        </w:numPr>
        <w:spacing w:line="300" w:lineRule="auto"/>
        <w:ind w:firstLineChars="0"/>
        <w:rPr>
          <w:rFonts w:ascii="宋体" w:hAnsi="宋体"/>
          <w:sz w:val="28"/>
          <w:szCs w:val="28"/>
        </w:rPr>
      </w:pPr>
      <w:r>
        <w:rPr>
          <w:rFonts w:ascii="宋体" w:hAnsi="宋体"/>
          <w:sz w:val="28"/>
          <w:szCs w:val="28"/>
        </w:rPr>
        <w:t>标识号</w:t>
      </w:r>
      <w:r>
        <w:rPr>
          <w:rFonts w:hint="eastAsia" w:ascii="宋体" w:hAnsi="宋体"/>
          <w:sz w:val="28"/>
          <w:szCs w:val="28"/>
        </w:rPr>
        <w:t>：</w:t>
      </w:r>
      <w:r>
        <w:rPr>
          <w:rFonts w:hint="eastAsia" w:ascii="宋体" w:hAnsi="宋体"/>
          <w:sz w:val="28"/>
          <w:szCs w:val="28"/>
          <w:lang w:val="en-US" w:eastAsia="zh-CN"/>
        </w:rPr>
        <w:t xml:space="preserve"> </w:t>
      </w:r>
    </w:p>
    <w:p>
      <w:pPr>
        <w:pStyle w:val="14"/>
        <w:numPr>
          <w:ilvl w:val="0"/>
          <w:numId w:val="3"/>
        </w:numPr>
        <w:spacing w:line="300" w:lineRule="auto"/>
        <w:ind w:firstLineChars="0"/>
        <w:rPr>
          <w:rFonts w:hint="eastAsia" w:ascii="宋体" w:hAnsi="宋体"/>
          <w:sz w:val="28"/>
          <w:szCs w:val="28"/>
          <w:lang w:val="en-US" w:eastAsia="zh-CN"/>
        </w:rPr>
      </w:pPr>
      <w:r>
        <w:rPr>
          <w:rFonts w:hint="eastAsia" w:ascii="宋体" w:hAnsi="宋体"/>
          <w:sz w:val="28"/>
          <w:szCs w:val="28"/>
        </w:rPr>
        <w:t>任务</w:t>
      </w:r>
      <w:r>
        <w:rPr>
          <w:rFonts w:ascii="宋体" w:hAnsi="宋体"/>
          <w:sz w:val="28"/>
          <w:szCs w:val="28"/>
        </w:rPr>
        <w:t>名称</w:t>
      </w:r>
      <w:r>
        <w:rPr>
          <w:rFonts w:hint="eastAsia" w:ascii="宋体" w:hAnsi="宋体"/>
          <w:sz w:val="28"/>
          <w:szCs w:val="28"/>
        </w:rPr>
        <w:t>：</w:t>
      </w:r>
      <w:r>
        <w:rPr>
          <w:rFonts w:hint="eastAsia" w:ascii="宋体" w:hAnsi="宋体"/>
          <w:sz w:val="28"/>
          <w:szCs w:val="28"/>
          <w:lang w:val="en-US" w:eastAsia="zh-CN"/>
        </w:rPr>
        <w:t>基于气象数据的廊道预警与规划技术研发任务书</w:t>
      </w:r>
    </w:p>
    <w:p>
      <w:pPr>
        <w:pStyle w:val="3"/>
        <w:numPr>
          <w:ilvl w:val="1"/>
          <w:numId w:val="2"/>
        </w:numPr>
        <w:bidi w:val="0"/>
      </w:pPr>
      <w:bookmarkStart w:id="4" w:name="_Toc939886774"/>
      <w:bookmarkStart w:id="5" w:name="_Toc9777"/>
      <w:r>
        <w:rPr>
          <w:rFonts w:hint="eastAsia"/>
        </w:rPr>
        <w:t>概述</w:t>
      </w:r>
      <w:bookmarkEnd w:id="4"/>
      <w:bookmarkEnd w:id="5"/>
    </w:p>
    <w:p>
      <w:pPr>
        <w:spacing w:line="300" w:lineRule="auto"/>
        <w:ind w:firstLine="560" w:firstLineChars="200"/>
        <w:rPr>
          <w:rFonts w:ascii="宋体" w:hAnsi="宋体"/>
          <w:sz w:val="28"/>
          <w:szCs w:val="28"/>
        </w:rPr>
      </w:pPr>
      <w:r>
        <w:rPr>
          <w:rFonts w:ascii="宋体" w:hAnsi="宋体"/>
          <w:sz w:val="28"/>
          <w:szCs w:val="28"/>
        </w:rPr>
        <w:t>本开发任务书明确了“</w:t>
      </w:r>
      <w:r>
        <w:rPr>
          <w:rFonts w:hint="eastAsia" w:ascii="宋体" w:hAnsi="宋体"/>
          <w:sz w:val="28"/>
          <w:szCs w:val="28"/>
          <w:lang w:val="en-US" w:eastAsia="zh-CN"/>
        </w:rPr>
        <w:t>IWN廊道运维管理平台融合气象数据</w:t>
      </w:r>
      <w:r>
        <w:rPr>
          <w:rFonts w:ascii="宋体" w:hAnsi="宋体"/>
          <w:sz w:val="28"/>
          <w:szCs w:val="28"/>
        </w:rPr>
        <w:t>”的建设范围、功能组成及数据接入要求。</w:t>
      </w:r>
    </w:p>
    <w:p>
      <w:pPr>
        <w:spacing w:line="300" w:lineRule="auto"/>
        <w:ind w:firstLine="560" w:firstLineChars="200"/>
        <w:rPr>
          <w:rFonts w:ascii="宋体" w:hAnsi="宋体"/>
          <w:sz w:val="28"/>
          <w:szCs w:val="28"/>
        </w:rPr>
      </w:pPr>
      <w:r>
        <w:rPr>
          <w:rFonts w:ascii="宋体" w:hAnsi="宋体"/>
          <w:sz w:val="28"/>
          <w:szCs w:val="28"/>
        </w:rPr>
        <w:t>本</w:t>
      </w:r>
      <w:r>
        <w:rPr>
          <w:rFonts w:hint="eastAsia" w:ascii="宋体" w:hAnsi="宋体"/>
          <w:sz w:val="28"/>
          <w:szCs w:val="28"/>
          <w:lang w:val="en-US" w:eastAsia="zh-CN"/>
        </w:rPr>
        <w:t>任务书</w:t>
      </w:r>
      <w:r>
        <w:rPr>
          <w:rFonts w:ascii="宋体" w:hAnsi="宋体"/>
          <w:sz w:val="28"/>
          <w:szCs w:val="28"/>
        </w:rPr>
        <w:t>主要基于现有的《IWN廊道运维管理平台》进行系统功能融合升级。核心建设内容为：通过统一接入专业的高频网格化气象数据，在IWN廊道运维管理平台的基础数据、态势显示、规划计划等底层原生模块</w:t>
      </w:r>
      <w:r>
        <w:rPr>
          <w:rFonts w:ascii="宋体" w:hAnsi="宋体"/>
          <w:color w:val="auto"/>
          <w:sz w:val="28"/>
          <w:szCs w:val="28"/>
        </w:rPr>
        <w:t>中新增核心管控逻辑</w:t>
      </w:r>
      <w:r>
        <w:rPr>
          <w:rFonts w:hint="eastAsia" w:ascii="宋体" w:hAnsi="宋体"/>
          <w:color w:val="auto"/>
          <w:sz w:val="28"/>
          <w:szCs w:val="28"/>
          <w:lang w:eastAsia="zh-CN"/>
        </w:rPr>
        <w:t>：包括气象数据管理与气象禁飞区生成功能，气象数据态势显示功能，以及增加气象禁飞区的</w:t>
      </w:r>
      <w:r>
        <w:rPr>
          <w:rFonts w:hint="eastAsia" w:ascii="宋体" w:hAnsi="宋体"/>
          <w:color w:val="auto"/>
          <w:sz w:val="28"/>
          <w:szCs w:val="28"/>
          <w:lang w:val="en-US" w:eastAsia="zh-CN"/>
        </w:rPr>
        <w:t>利用</w:t>
      </w:r>
      <w:r>
        <w:rPr>
          <w:rFonts w:hint="eastAsia" w:ascii="宋体" w:hAnsi="宋体"/>
          <w:color w:val="auto"/>
          <w:sz w:val="28"/>
          <w:szCs w:val="28"/>
          <w:lang w:eastAsia="zh-CN"/>
        </w:rPr>
        <w:t>能力。</w:t>
      </w:r>
    </w:p>
    <w:p>
      <w:pPr>
        <w:pStyle w:val="2"/>
        <w:numPr>
          <w:ilvl w:val="0"/>
          <w:numId w:val="2"/>
        </w:numPr>
        <w:bidi w:val="0"/>
      </w:pPr>
      <w:bookmarkStart w:id="6" w:name="_Toc1934786933"/>
      <w:bookmarkStart w:id="7" w:name="_Toc23765"/>
      <w:r>
        <w:rPr>
          <w:rFonts w:hint="eastAsia"/>
        </w:rPr>
        <w:t>建设内容及</w:t>
      </w:r>
      <w:r>
        <w:t>技术</w:t>
      </w:r>
      <w:r>
        <w:rPr>
          <w:rFonts w:hint="eastAsia"/>
        </w:rPr>
        <w:t>要求</w:t>
      </w:r>
      <w:bookmarkEnd w:id="6"/>
      <w:bookmarkEnd w:id="7"/>
    </w:p>
    <w:p>
      <w:pPr>
        <w:pStyle w:val="3"/>
        <w:numPr>
          <w:ilvl w:val="1"/>
          <w:numId w:val="2"/>
        </w:numPr>
        <w:bidi w:val="0"/>
      </w:pPr>
      <w:r>
        <w:rPr>
          <w:rFonts w:hint="eastAsia"/>
        </w:rPr>
        <w:t>功能组成</w:t>
      </w:r>
    </w:p>
    <w:p>
      <w:pPr>
        <w:jc w:val="left"/>
        <w:rPr>
          <w:rFonts w:hint="eastAsia" w:eastAsia="宋体"/>
          <w:lang w:eastAsia="zh-CN"/>
        </w:rPr>
      </w:pPr>
      <w:r>
        <w:drawing>
          <wp:inline distT="0" distB="0" distL="114300" distR="114300">
            <wp:extent cx="5271770" cy="3682365"/>
            <wp:effectExtent l="0" t="0" r="1270" b="571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68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6"/>
        <w:ind w:firstLine="560" w:firstLineChars="200"/>
        <w:rPr>
          <w:rFonts w:hint="eastAsia" w:ascii="Times New Roman" w:hAnsi="Times New Roman" w:eastAsiaTheme="minorEastAsia"/>
          <w:b w:val="0"/>
          <w:bCs/>
          <w:sz w:val="28"/>
          <w:szCs w:val="28"/>
        </w:rPr>
      </w:pPr>
      <w:r>
        <w:rPr>
          <w:rFonts w:hint="eastAsia" w:ascii="Times New Roman" w:hAnsi="Times New Roman" w:eastAsiaTheme="minorEastAsia"/>
          <w:b w:val="0"/>
          <w:bCs/>
          <w:sz w:val="28"/>
          <w:szCs w:val="28"/>
          <w:lang w:val="en-US" w:eastAsia="zh-CN"/>
        </w:rPr>
        <w:t>基于气象数据的廊道预警与规划</w:t>
      </w:r>
      <w:r>
        <w:rPr>
          <w:rFonts w:hint="eastAsia" w:ascii="Times New Roman" w:hAnsi="Times New Roman" w:eastAsiaTheme="minorEastAsia"/>
          <w:b w:val="0"/>
          <w:bCs/>
          <w:sz w:val="28"/>
          <w:szCs w:val="28"/>
        </w:rPr>
        <w:t>功能组成</w:t>
      </w:r>
    </w:p>
    <w:p>
      <w:pPr>
        <w:pStyle w:val="3"/>
        <w:numPr>
          <w:ilvl w:val="1"/>
          <w:numId w:val="2"/>
        </w:numPr>
        <w:bidi w:val="0"/>
      </w:pPr>
      <w:bookmarkStart w:id="8" w:name="_Toc137902460"/>
      <w:bookmarkStart w:id="9" w:name="_Toc1985"/>
      <w:r>
        <w:rPr>
          <w:rFonts w:hint="eastAsia"/>
        </w:rPr>
        <w:t>功能要</w:t>
      </w:r>
      <w:bookmarkEnd w:id="8"/>
      <w:bookmarkEnd w:id="9"/>
      <w:r>
        <w:rPr>
          <w:rFonts w:hint="eastAsia"/>
          <w:lang w:val="en-US" w:eastAsia="zh-CN"/>
        </w:rPr>
        <w:t>求</w:t>
      </w:r>
    </w:p>
    <w:p>
      <w:pPr>
        <w:pStyle w:val="4"/>
        <w:bidi w:val="0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lang w:val="en-US" w:eastAsia="zh-CN"/>
        </w:rPr>
        <w:t>2.2.1 廊道态势显示模块：增加气象数据态势显示功能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560" w:hanging="560" w:hangingChars="200"/>
        <w:textAlignment w:val="auto"/>
        <w:rPr>
          <w:rFonts w:hint="default"/>
          <w:color w:val="FFC000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 </w:t>
      </w:r>
      <w:r>
        <w:rPr>
          <w:rFonts w:hint="default"/>
          <w:color w:val="FFC000"/>
          <w:sz w:val="28"/>
          <w:szCs w:val="28"/>
          <w:lang w:val="en-US" w:eastAsia="zh-CN"/>
        </w:rPr>
        <w:t xml:space="preserve"> </w:t>
      </w:r>
      <w:r>
        <w:rPr>
          <w:rFonts w:hint="eastAsia"/>
          <w:color w:val="auto"/>
          <w:sz w:val="28"/>
          <w:szCs w:val="28"/>
          <w:lang w:val="en-US" w:eastAsia="zh-CN"/>
        </w:rPr>
        <w:t>3D态势显示模块增加气象图层控制面板与时空联动功能：在态势大屏增设气象面板与底部时间轴组件。操作员不仅可通过开关独立控制温度（热力图）、降水（色带覆盖）、风速等全局气象图层的显示/隐藏，还可通过拖动时间轴，一键切换查看当前实况或未来24小时内任意时段的气象预报分布状态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560" w:hanging="560" w:hangingChars="200"/>
        <w:textAlignment w:val="auto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  3D态势显示模块增加气象禁飞区图层与动态渲染功能：在控制面板增设“气象禁飞区”独立开关。开启后，系统自动读取底层的禁飞数据，仅针对与无人机廊道网络重叠的受影响区域，在3D空域中以红色高亮或3D多边形禁飞围栏形式进行直观渲染；渲染状态随底部时间轴的拖动实现时间维度的动态刷新显示；</w:t>
      </w:r>
    </w:p>
    <w:p>
      <w:pPr>
        <w:pStyle w:val="4"/>
        <w:bidi w:val="0"/>
        <w:rPr>
          <w:rFonts w:hint="default"/>
          <w:b/>
          <w:lang w:val="en-US" w:eastAsia="zh-CN"/>
        </w:rPr>
      </w:pPr>
      <w:r>
        <w:rPr>
          <w:rFonts w:hint="eastAsia"/>
          <w:b/>
          <w:lang w:val="en-US" w:eastAsia="zh-CN"/>
        </w:rPr>
        <w:t>2.2.2 廊道基础数据模块：增加气象数据管理和气象禁飞区生成功能</w:t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560" w:hanging="560" w:hangingChars="200"/>
        <w:textAlignment w:val="auto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  </w:t>
      </w:r>
      <w:bookmarkStart w:id="10" w:name="OLE_LINK1"/>
      <w:r>
        <w:rPr>
          <w:rFonts w:hint="eastAsia"/>
          <w:sz w:val="28"/>
          <w:szCs w:val="28"/>
          <w:lang w:val="en-US" w:eastAsia="zh-CN"/>
        </w:rPr>
        <w:t>基础数据模块增加气象数据后台自动化获取与处理功能，能够高频定时拉取专业气象服务商的网格化气象实况与预报数据，提供标准查询接口供其他模块调用；</w:t>
      </w:r>
    </w:p>
    <w:bookmarkEnd w:id="10"/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560" w:hanging="560" w:hangingChars="200"/>
        <w:textAlignment w:val="auto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  基础数据模块增加自定义气象预警阈值配置功能，支持管理人员自由设置触发禁飞的绝对数值指标（如：自定义设置风速&gt;10m/s、降水&gt;5mm/h即为禁飞状态）；</w:t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560" w:hanging="560" w:hangingChars="200"/>
        <w:textAlignment w:val="auto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  基础数据模块增加气象禁飞区自动生成引擎功能，能够基于获取的最新气象预报数据，结合上述自定义设置的风速、降雨等指标，在系统后台自动计算并生成包含具体网格编号与生效时间段的“气象禁飞区”数据池，供其他业务模块实时调用。</w:t>
      </w:r>
    </w:p>
    <w:p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2.2.3 规划计划模块：增加利用气象禁飞区的能力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560" w:hanging="560" w:hangingChars="200"/>
        <w:textAlignment w:val="auto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  规划计划模块增加航线防撞前置评估与阻断功能，在生成飞行任务或接收外部航线申请时，能够自动读取基础数据模块生成的“气象禁飞区”数据，精准判断当前拟飞路径及时段是否与禁飞区存在重叠。若命中冲突，系统将直接阻断审批，并基于未来24小时预报自动为用户推荐相邻的气象适飞时间窗口；若该航线在未来24小时内全时段受气象封锁，则明确输出“全天候禁飞”的拦截提示；此外，该功能底层预留了空间维度的柔性重规划接口，未来升级将支持自动为用户推荐绕行周边安全廊道的备选航线方案。</w:t>
      </w:r>
    </w:p>
    <w:p>
      <w:pPr>
        <w:pStyle w:val="3"/>
        <w:numPr>
          <w:ilvl w:val="1"/>
          <w:numId w:val="2"/>
        </w:numPr>
        <w:bidi w:val="0"/>
        <w:rPr>
          <w:rFonts w:hint="eastAsia"/>
        </w:rPr>
      </w:pPr>
      <w:bookmarkStart w:id="11" w:name="_Toc1545732276"/>
      <w:bookmarkStart w:id="12" w:name="_Toc13296"/>
      <w:r>
        <w:rPr>
          <w:rFonts w:hint="eastAsia"/>
        </w:rPr>
        <w:t>软件性能要求</w:t>
      </w:r>
      <w:bookmarkEnd w:id="11"/>
      <w:bookmarkEnd w:id="12"/>
    </w:p>
    <w:p>
      <w:pPr>
        <w:pStyle w:val="14"/>
        <w:numPr>
          <w:ilvl w:val="0"/>
          <w:numId w:val="7"/>
        </w:numPr>
        <w:spacing w:line="300" w:lineRule="auto"/>
        <w:ind w:firstLine="480"/>
        <w:outlineLvl w:val="2"/>
        <w:rPr>
          <w:rFonts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支持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飞行器数量：≥100架（实测）；≥5000架（设计）；</w:t>
      </w:r>
    </w:p>
    <w:p>
      <w:pPr>
        <w:pStyle w:val="14"/>
        <w:numPr>
          <w:ilvl w:val="0"/>
          <w:numId w:val="7"/>
        </w:numPr>
        <w:spacing w:line="300" w:lineRule="auto"/>
        <w:ind w:firstLine="480"/>
        <w:outlineLvl w:val="2"/>
        <w:rPr>
          <w:rFonts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应在应用模块层、云计算层进行低时延性能优化，满足平均端到端时延不超过1s；</w:t>
      </w:r>
    </w:p>
    <w:p>
      <w:pPr>
        <w:pStyle w:val="14"/>
        <w:numPr>
          <w:ilvl w:val="0"/>
          <w:numId w:val="7"/>
        </w:numPr>
        <w:spacing w:line="300" w:lineRule="auto"/>
        <w:ind w:firstLine="480"/>
        <w:outlineLvl w:val="2"/>
        <w:rPr>
          <w:rFonts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在选配合理配置的硬件并增加硬件数量的情况下，应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支持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5000架飞行器同时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在线的</w:t>
      </w:r>
      <w:r>
        <w:rPr>
          <w:rFonts w:hint="eastAsia" w:asciiTheme="minorEastAsia" w:hAnsiTheme="minorEastAsia" w:eastAsiaTheme="minorEastAsia" w:cstheme="minorEastAsia"/>
          <w:sz w:val="28"/>
          <w:szCs w:val="28"/>
        </w:rPr>
        <w:t>能力；</w:t>
      </w:r>
    </w:p>
    <w:p>
      <w:pPr>
        <w:pStyle w:val="14"/>
        <w:numPr>
          <w:ilvl w:val="0"/>
          <w:numId w:val="7"/>
        </w:numPr>
        <w:spacing w:line="300" w:lineRule="auto"/>
        <w:ind w:firstLine="480"/>
        <w:outlineLvl w:val="2"/>
        <w:rPr>
          <w:rFonts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支持飞行器的类型数量：≥3类（Mavlink、DJI、AEE等）；</w:t>
      </w:r>
    </w:p>
    <w:p>
      <w:pPr>
        <w:pStyle w:val="14"/>
        <w:numPr>
          <w:ilvl w:val="0"/>
          <w:numId w:val="7"/>
        </w:numPr>
        <w:spacing w:line="300" w:lineRule="auto"/>
        <w:ind w:firstLine="480"/>
        <w:outlineLvl w:val="2"/>
        <w:rPr>
          <w:rFonts w:asciiTheme="minorEastAsia" w:hAnsiTheme="minorEastAsia" w:eastAsiaTheme="minorEastAsia" w:cstheme="minorEastAsia"/>
          <w:sz w:val="28"/>
          <w:szCs w:val="28"/>
        </w:rPr>
      </w:pPr>
      <w:bookmarkStart w:id="13" w:name="_Hlk180145379"/>
      <w:r>
        <w:rPr>
          <w:rFonts w:hint="eastAsia" w:asciiTheme="minorEastAsia" w:hAnsiTheme="minorEastAsia" w:eastAsiaTheme="minorEastAsia" w:cstheme="minorEastAsia"/>
          <w:sz w:val="28"/>
          <w:szCs w:val="28"/>
        </w:rPr>
        <w:t>软件成熟度达到七级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eastAsia="zh-CN"/>
        </w:rPr>
        <w:t>；</w:t>
      </w:r>
    </w:p>
    <w:p>
      <w:pPr>
        <w:pStyle w:val="14"/>
        <w:numPr>
          <w:ilvl w:val="0"/>
          <w:numId w:val="7"/>
        </w:numPr>
        <w:spacing w:line="300" w:lineRule="auto"/>
        <w:ind w:firstLine="480"/>
        <w:outlineLvl w:val="2"/>
        <w:rPr>
          <w:rFonts w:asciiTheme="minorEastAsia" w:hAnsiTheme="minorEastAsia" w:eastAsiaTheme="minorEastAsia" w:cstheme="minorEastAsia"/>
          <w:sz w:val="28"/>
          <w:szCs w:val="28"/>
        </w:rPr>
      </w:pPr>
      <w:r>
        <w:rPr>
          <w:rFonts w:asciiTheme="minorEastAsia" w:hAnsiTheme="minorEastAsia" w:eastAsiaTheme="minorEastAsia" w:cstheme="minorEastAsia"/>
          <w:sz w:val="28"/>
          <w:szCs w:val="28"/>
        </w:rPr>
        <w:t>针对 1km 级实况数据后台定时抓取与更新频率须 ≤ 1分钟/次。</w:t>
      </w:r>
    </w:p>
    <w:p>
      <w:pPr>
        <w:pStyle w:val="14"/>
        <w:numPr>
          <w:ilvl w:val="0"/>
          <w:numId w:val="7"/>
        </w:numPr>
        <w:spacing w:line="300" w:lineRule="auto"/>
        <w:ind w:firstLine="480"/>
        <w:outlineLvl w:val="2"/>
        <w:rPr>
          <w:rFonts w:asciiTheme="minorEastAsia" w:hAnsiTheme="minorEastAsia" w:eastAsiaTheme="minorEastAsia" w:cstheme="minorEastAsia"/>
          <w:sz w:val="28"/>
          <w:szCs w:val="28"/>
        </w:rPr>
      </w:pPr>
      <w:r>
        <w:rPr>
          <w:rFonts w:asciiTheme="minorEastAsia" w:hAnsiTheme="minorEastAsia" w:eastAsiaTheme="minorEastAsia" w:cstheme="minorEastAsia"/>
          <w:sz w:val="28"/>
          <w:szCs w:val="28"/>
        </w:rPr>
        <w:t>针对 5km 级逐小时气象预报数据，后台定时抓取与更新频率须 ≤ 15分钟/次。</w:t>
      </w:r>
    </w:p>
    <w:p>
      <w:pPr>
        <w:pStyle w:val="14"/>
        <w:numPr>
          <w:ilvl w:val="0"/>
          <w:numId w:val="7"/>
        </w:numPr>
        <w:spacing w:line="300" w:lineRule="auto"/>
        <w:ind w:firstLine="480"/>
        <w:outlineLvl w:val="2"/>
        <w:rPr>
          <w:rFonts w:asciiTheme="minorEastAsia" w:hAnsiTheme="minorEastAsia" w:eastAsiaTheme="minorEastAsia" w:cstheme="minorEastAsia"/>
          <w:sz w:val="28"/>
          <w:szCs w:val="28"/>
        </w:rPr>
      </w:pPr>
      <w:r>
        <w:rPr>
          <w:rFonts w:asciiTheme="minorEastAsia" w:hAnsiTheme="minorEastAsia" w:eastAsiaTheme="minorEastAsia" w:cstheme="minorEastAsia"/>
          <w:sz w:val="28"/>
          <w:szCs w:val="28"/>
        </w:rPr>
        <w:t>针对 20km 级天级别长效预报数据，后台定时抓取与更新频率须 ≤ 120分钟/次。</w:t>
      </w:r>
    </w:p>
    <w:p>
      <w:pPr>
        <w:pStyle w:val="14"/>
        <w:numPr>
          <w:ilvl w:val="0"/>
          <w:numId w:val="7"/>
        </w:numPr>
        <w:spacing w:line="300" w:lineRule="auto"/>
        <w:ind w:firstLine="480"/>
        <w:outlineLvl w:val="2"/>
        <w:rPr>
          <w:rFonts w:asciiTheme="minorEastAsia" w:hAnsiTheme="minorEastAsia" w:eastAsiaTheme="minorEastAsia" w:cstheme="minorEastAsia"/>
          <w:sz w:val="28"/>
          <w:szCs w:val="28"/>
        </w:rPr>
      </w:pPr>
      <w:r>
        <w:rPr>
          <w:rFonts w:asciiTheme="minorEastAsia" w:hAnsiTheme="minorEastAsia" w:eastAsiaTheme="minorEastAsia" w:cstheme="minorEastAsia"/>
          <w:sz w:val="28"/>
          <w:szCs w:val="28"/>
        </w:rPr>
        <w:t>系统后台在接收到最新频次的气象网格数据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eastAsia="zh-CN"/>
        </w:rPr>
        <w:t>，</w:t>
      </w:r>
      <w:r>
        <w:rPr>
          <w:rFonts w:asciiTheme="minorEastAsia" w:hAnsiTheme="minorEastAsia" w:eastAsiaTheme="minorEastAsia" w:cstheme="minorEastAsia"/>
          <w:sz w:val="28"/>
          <w:szCs w:val="28"/>
        </w:rPr>
        <w:t>官方突发预警后，完成JSON数据解析、与3D物理廊道网格的空间映射比对、以及生成/刷新“气象禁飞区”状态记录的内部核心运算耗时应 ≤ 500ms，确保整个态势显示渲染与健康管理告警的端到端响应时延控制在 1s 以内。</w:t>
      </w:r>
    </w:p>
    <w:p>
      <w:pPr>
        <w:pStyle w:val="3"/>
        <w:numPr>
          <w:ilvl w:val="1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数据要求</w:t>
      </w:r>
    </w:p>
    <w:p>
      <w:pPr>
        <w:pStyle w:val="14"/>
        <w:numPr>
          <w:ilvl w:val="0"/>
          <w:numId w:val="0"/>
        </w:numPr>
        <w:spacing w:line="300" w:lineRule="auto"/>
        <w:ind w:firstLine="420" w:firstLineChars="0"/>
        <w:outlineLvl w:val="2"/>
        <w:rPr>
          <w:rFonts w:hint="default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sz w:val="28"/>
          <w:szCs w:val="28"/>
          <w:lang w:val="en-US" w:eastAsia="zh-CN"/>
        </w:rPr>
        <w:t>结合实际业务场景及外部气象源API接口服务能力，本项目融合的气象数据需满足以下要求：</w:t>
      </w:r>
    </w:p>
    <w:p>
      <w:pPr>
        <w:pStyle w:val="14"/>
        <w:numPr>
          <w:ilvl w:val="0"/>
          <w:numId w:val="8"/>
        </w:numPr>
        <w:spacing w:line="300" w:lineRule="auto"/>
        <w:ind w:firstLine="480"/>
        <w:outlineLvl w:val="2"/>
        <w:rPr>
          <w:rFonts w:hint="default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sz w:val="28"/>
          <w:szCs w:val="28"/>
          <w:lang w:val="en-US" w:eastAsia="zh-CN"/>
        </w:rPr>
        <w:t>需要提供空间分辨率为 1km×1km 的高频气象实况（更新频率 1分钟/次）；</w:t>
      </w:r>
    </w:p>
    <w:p>
      <w:pPr>
        <w:pStyle w:val="14"/>
        <w:numPr>
          <w:ilvl w:val="0"/>
          <w:numId w:val="8"/>
        </w:numPr>
        <w:spacing w:line="300" w:lineRule="auto"/>
        <w:ind w:firstLine="480"/>
        <w:outlineLvl w:val="2"/>
        <w:rPr>
          <w:rFonts w:hint="default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sz w:val="28"/>
          <w:szCs w:val="28"/>
          <w:lang w:val="en-US" w:eastAsia="zh-CN"/>
        </w:rPr>
        <w:t>需要提供空间分辨率为 5km×5km 的逐小时网格预报数据（更新频率 15分钟/次，预报周期涵盖未来360小时），以及分辨率为 20km×20km 的天级别长效预报数据（更新频率 120分钟/次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，</w:t>
      </w:r>
      <w:r>
        <w:rPr>
          <w:rFonts w:hint="default" w:asciiTheme="minorEastAsia" w:hAnsiTheme="minorEastAsia" w:eastAsiaTheme="minorEastAsia" w:cstheme="minorEastAsia"/>
          <w:sz w:val="28"/>
          <w:szCs w:val="28"/>
          <w:lang w:val="en-US" w:eastAsia="zh-CN"/>
        </w:rPr>
        <w:t>预报周期涵盖未来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15-40天</w:t>
      </w:r>
      <w:r>
        <w:rPr>
          <w:rFonts w:hint="default" w:asciiTheme="minorEastAsia" w:hAnsiTheme="minorEastAsia" w:eastAsiaTheme="minorEastAsia" w:cstheme="minorEastAsia"/>
          <w:sz w:val="28"/>
          <w:szCs w:val="28"/>
          <w:lang w:val="en-US" w:eastAsia="zh-CN"/>
        </w:rPr>
        <w:t>）；</w:t>
      </w:r>
    </w:p>
    <w:p>
      <w:pPr>
        <w:pStyle w:val="14"/>
        <w:numPr>
          <w:ilvl w:val="0"/>
          <w:numId w:val="8"/>
        </w:numPr>
        <w:spacing w:line="300" w:lineRule="auto"/>
        <w:ind w:firstLine="480"/>
        <w:outlineLvl w:val="2"/>
        <w:rPr>
          <w:rFonts w:hint="default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sz w:val="28"/>
          <w:szCs w:val="28"/>
          <w:lang w:val="en-US" w:eastAsia="zh-CN"/>
        </w:rPr>
        <w:t>网格气象要素需完整包含地表的风速、风向、温度、湿度、降水量等常规基础数据；</w:t>
      </w:r>
    </w:p>
    <w:p>
      <w:pPr>
        <w:pStyle w:val="14"/>
        <w:numPr>
          <w:ilvl w:val="0"/>
          <w:numId w:val="8"/>
        </w:numPr>
        <w:spacing w:line="300" w:lineRule="auto"/>
        <w:ind w:firstLine="480"/>
        <w:outlineLvl w:val="2"/>
        <w:rPr>
          <w:rFonts w:hint="default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sz w:val="28"/>
          <w:szCs w:val="28"/>
          <w:lang w:val="en-US" w:eastAsia="zh-CN"/>
        </w:rPr>
        <w:t>数据主要以标准化的 API 接口调用的方式提供，支持系统后端依据不同预报周期进行多频次（如1分钟/15分钟/120分钟）的定时自动化拉取与解析落库。</w:t>
      </w:r>
    </w:p>
    <w:bookmarkEnd w:id="13"/>
    <w:p>
      <w:pPr>
        <w:pStyle w:val="14"/>
        <w:numPr>
          <w:ilvl w:val="0"/>
          <w:numId w:val="2"/>
        </w:numPr>
        <w:spacing w:line="300" w:lineRule="auto"/>
        <w:ind w:firstLineChars="0"/>
        <w:outlineLvl w:val="0"/>
        <w:rPr>
          <w:rFonts w:ascii="黑体" w:hAnsi="黑体" w:eastAsia="黑体"/>
          <w:sz w:val="28"/>
          <w:szCs w:val="28"/>
        </w:rPr>
      </w:pPr>
      <w:r>
        <w:rPr>
          <w:rFonts w:hint="eastAsia" w:ascii="黑体" w:hAnsi="黑体" w:eastAsia="黑体"/>
          <w:sz w:val="28"/>
          <w:szCs w:val="28"/>
        </w:rPr>
        <w:t>研发方式</w:t>
      </w:r>
    </w:p>
    <w:p>
      <w:pPr>
        <w:spacing w:line="300" w:lineRule="auto"/>
        <w:ind w:firstLine="560" w:firstLineChars="200"/>
        <w:rPr>
          <w:rFonts w:ascii="宋体" w:hAnsi="宋体"/>
          <w:sz w:val="28"/>
          <w:szCs w:val="28"/>
        </w:rPr>
      </w:pPr>
      <w:r>
        <w:rPr>
          <w:rFonts w:hint="eastAsia" w:ascii="宋体" w:hAnsi="宋体"/>
          <w:sz w:val="28"/>
          <w:szCs w:val="28"/>
        </w:rPr>
        <w:t>迭代开发，一周一个可检查成果。</w:t>
      </w:r>
    </w:p>
    <w:p>
      <w:pPr>
        <w:pStyle w:val="14"/>
        <w:numPr>
          <w:ilvl w:val="0"/>
          <w:numId w:val="2"/>
        </w:numPr>
        <w:spacing w:line="300" w:lineRule="auto"/>
        <w:ind w:firstLineChars="0"/>
        <w:outlineLvl w:val="0"/>
        <w:rPr>
          <w:rFonts w:ascii="黑体" w:hAnsi="黑体" w:eastAsia="黑体"/>
          <w:sz w:val="28"/>
          <w:szCs w:val="28"/>
        </w:rPr>
      </w:pPr>
      <w:r>
        <w:rPr>
          <w:rFonts w:hint="eastAsia" w:ascii="黑体" w:hAnsi="黑体" w:eastAsia="黑体"/>
          <w:sz w:val="28"/>
          <w:szCs w:val="28"/>
        </w:rPr>
        <w:t>验收</w:t>
      </w:r>
    </w:p>
    <w:p>
      <w:pPr>
        <w:spacing w:line="300" w:lineRule="auto"/>
        <w:ind w:firstLine="560" w:firstLineChars="200"/>
        <w:rPr>
          <w:bCs/>
          <w:sz w:val="28"/>
          <w:szCs w:val="28"/>
        </w:rPr>
      </w:pPr>
      <w:r>
        <w:rPr>
          <w:rFonts w:hint="eastAsia" w:ascii="宋体" w:hAnsi="宋体"/>
          <w:sz w:val="28"/>
          <w:szCs w:val="28"/>
        </w:rPr>
        <w:t>具备自测试能力，验收前，根据要求完成文档检查、软件测试，文档齐套，软件模块功能、性能、接口测试满足全部要求后进行验收。</w:t>
      </w:r>
    </w:p>
    <w:p>
      <w:pPr>
        <w:pStyle w:val="14"/>
        <w:numPr>
          <w:ilvl w:val="0"/>
          <w:numId w:val="2"/>
        </w:numPr>
        <w:spacing w:line="300" w:lineRule="auto"/>
        <w:ind w:firstLineChars="0"/>
        <w:outlineLvl w:val="0"/>
        <w:rPr>
          <w:rFonts w:ascii="黑体" w:hAnsi="黑体" w:eastAsia="黑体"/>
          <w:sz w:val="28"/>
          <w:szCs w:val="28"/>
        </w:rPr>
      </w:pPr>
      <w:r>
        <w:rPr>
          <w:rFonts w:hint="eastAsia" w:ascii="黑体" w:hAnsi="黑体" w:eastAsia="黑体"/>
          <w:sz w:val="28"/>
          <w:szCs w:val="28"/>
        </w:rPr>
        <w:t>开发进度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1"/>
        <w:gridCol w:w="2088"/>
        <w:gridCol w:w="3606"/>
        <w:gridCol w:w="1092"/>
        <w:gridCol w:w="125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" w:type="dxa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序号</w:t>
            </w:r>
          </w:p>
        </w:tc>
        <w:tc>
          <w:tcPr>
            <w:tcW w:w="2088" w:type="dxa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jc w:val="center"/>
              <w:rPr>
                <w:rFonts w:hint="eastAsia"/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计划进度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jc w:val="center"/>
              <w:rPr>
                <w:rFonts w:hint="eastAsia"/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里程碑节点</w:t>
            </w:r>
          </w:p>
        </w:tc>
        <w:tc>
          <w:tcPr>
            <w:tcW w:w="3606" w:type="dxa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jc w:val="center"/>
              <w:rPr>
                <w:rFonts w:hint="eastAsia"/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交付内容及要求</w:t>
            </w:r>
          </w:p>
        </w:tc>
        <w:tc>
          <w:tcPr>
            <w:tcW w:w="1092" w:type="dxa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验收方式</w:t>
            </w:r>
          </w:p>
        </w:tc>
        <w:tc>
          <w:tcPr>
            <w:tcW w:w="1255" w:type="dxa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jc w:val="center"/>
              <w:rPr>
                <w:rFonts w:hint="eastAsia"/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时间进度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jc w:val="center"/>
              <w:rPr>
                <w:rFonts w:hint="eastAsia"/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要求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" w:type="dxa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1</w:t>
            </w:r>
          </w:p>
        </w:tc>
        <w:tc>
          <w:tcPr>
            <w:tcW w:w="2088" w:type="dxa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完成气象融合方案设计、彩云API对接确认及前端UI设计工作。</w:t>
            </w:r>
          </w:p>
        </w:tc>
        <w:tc>
          <w:tcPr>
            <w:tcW w:w="3606" w:type="dxa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bCs/>
                <w:sz w:val="28"/>
                <w:szCs w:val="28"/>
                <w:lang w:val="en-US" w:eastAsia="zh-CN"/>
              </w:rPr>
              <w:t>气象数据融合需求规格说明书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bCs/>
                <w:sz w:val="28"/>
                <w:szCs w:val="28"/>
                <w:lang w:val="en-US" w:eastAsia="zh-CN"/>
              </w:rPr>
              <w:t>气象融合方案概要设计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bCs/>
                <w:sz w:val="28"/>
                <w:szCs w:val="28"/>
                <w:lang w:val="en-US" w:eastAsia="zh-CN"/>
              </w:rPr>
              <w:t>气象功能原型与UI设计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  <w:lang w:val="en-US" w:eastAsia="zh-CN"/>
              </w:rPr>
            </w:pPr>
          </w:p>
        </w:tc>
        <w:tc>
          <w:tcPr>
            <w:tcW w:w="1092" w:type="dxa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会议评审</w:t>
            </w:r>
          </w:p>
        </w:tc>
        <w:tc>
          <w:tcPr>
            <w:tcW w:w="1255" w:type="dxa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481" w:type="dxa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2</w:t>
            </w:r>
          </w:p>
        </w:tc>
        <w:tc>
          <w:tcPr>
            <w:tcW w:w="2088" w:type="dxa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default"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bCs/>
                <w:sz w:val="28"/>
                <w:szCs w:val="28"/>
                <w:lang w:val="en-US" w:eastAsia="zh-CN"/>
              </w:rPr>
              <w:t>完成核心模块的开发与联调测试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default" w:eastAsia="宋体"/>
                <w:bCs/>
                <w:sz w:val="28"/>
                <w:szCs w:val="28"/>
                <w:lang w:val="en-US" w:eastAsia="zh-CN"/>
              </w:rPr>
            </w:pPr>
          </w:p>
        </w:tc>
        <w:tc>
          <w:tcPr>
            <w:tcW w:w="3606" w:type="dxa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各模块核心功能代码编写与合并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系统集成与联调测试报告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</w:rPr>
            </w:pPr>
          </w:p>
        </w:tc>
        <w:tc>
          <w:tcPr>
            <w:tcW w:w="1092" w:type="dxa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会议评审</w:t>
            </w:r>
          </w:p>
        </w:tc>
        <w:tc>
          <w:tcPr>
            <w:tcW w:w="1255" w:type="dxa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1" w:type="dxa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3</w:t>
            </w:r>
          </w:p>
        </w:tc>
        <w:tc>
          <w:tcPr>
            <w:tcW w:w="2088" w:type="dxa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完成系统级性能测试（满足端到端时延&lt;1s等要求），完成全流程联调，具备最终验收条件。</w:t>
            </w:r>
          </w:p>
        </w:tc>
        <w:tc>
          <w:tcPr>
            <w:tcW w:w="3606" w:type="dxa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技术总结报告与工作总结报告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验收测试大纲与验收测试报告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用户使用说明及开发维护手册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</w:rPr>
            </w:pPr>
          </w:p>
        </w:tc>
        <w:tc>
          <w:tcPr>
            <w:tcW w:w="1092" w:type="dxa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</w:rPr>
            </w:pPr>
            <w:r>
              <w:rPr>
                <w:rFonts w:hint="eastAsia"/>
                <w:bCs/>
                <w:sz w:val="28"/>
                <w:szCs w:val="28"/>
              </w:rPr>
              <w:t>会议评审</w:t>
            </w:r>
          </w:p>
        </w:tc>
        <w:tc>
          <w:tcPr>
            <w:tcW w:w="1255" w:type="dxa"/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88" w:lineRule="auto"/>
              <w:ind w:left="0" w:right="0"/>
              <w:rPr>
                <w:rFonts w:hint="eastAsia"/>
                <w:bCs/>
                <w:sz w:val="28"/>
                <w:szCs w:val="28"/>
              </w:rPr>
            </w:pPr>
          </w:p>
        </w:tc>
      </w:tr>
    </w:tbl>
    <w:p>
      <w:pPr>
        <w:spacing w:line="300" w:lineRule="auto"/>
        <w:ind w:firstLine="420"/>
        <w:rPr>
          <w:bCs/>
          <w:sz w:val="28"/>
          <w:szCs w:val="28"/>
        </w:rPr>
      </w:pPr>
      <w:r>
        <w:rPr>
          <w:rFonts w:hint="eastAsia" w:ascii="宋体" w:hAnsi="宋体"/>
          <w:sz w:val="28"/>
          <w:szCs w:val="28"/>
        </w:rPr>
        <w:t>最终交付的介质为普通光盘，其中包括文档、</w:t>
      </w:r>
      <w:r>
        <w:rPr>
          <w:rFonts w:ascii="宋体" w:hAnsi="宋体"/>
          <w:sz w:val="28"/>
          <w:szCs w:val="28"/>
        </w:rPr>
        <w:t>含源代码清单以及版本说明以及安装程序、应用环境所使用的驱动程序等</w:t>
      </w:r>
      <w:r>
        <w:rPr>
          <w:rFonts w:hint="eastAsia" w:ascii="宋体" w:hAnsi="宋体"/>
          <w:sz w:val="28"/>
          <w:szCs w:val="28"/>
        </w:rPr>
        <w:t>。</w:t>
      </w:r>
    </w:p>
    <w:p>
      <w:pPr>
        <w:spacing w:line="288" w:lineRule="auto"/>
        <w:rPr>
          <w:b/>
          <w:bCs/>
          <w:sz w:val="28"/>
          <w:szCs w:val="28"/>
        </w:rPr>
      </w:pPr>
    </w:p>
    <w:p>
      <w:pPr>
        <w:spacing w:line="288" w:lineRule="auto"/>
        <w:rPr>
          <w:sz w:val="28"/>
          <w:szCs w:val="28"/>
        </w:rPr>
      </w:pPr>
    </w:p>
    <w:p>
      <w:pPr>
        <w:rPr>
          <w:sz w:val="28"/>
          <w:szCs w:val="28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839EE9DF-7CEC-4FE8-825F-51AB7C09B147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C8C494"/>
    <w:multiLevelType w:val="singleLevel"/>
    <w:tmpl w:val="9CC8C494"/>
    <w:lvl w:ilvl="0" w:tentative="0">
      <w:start w:val="1"/>
      <w:numFmt w:val="lowerLetter"/>
      <w:lvlText w:val="%1)"/>
      <w:lvlJc w:val="left"/>
      <w:pPr>
        <w:tabs>
          <w:tab w:val="left" w:pos="312"/>
        </w:tabs>
      </w:pPr>
      <w:rPr>
        <w:rFonts w:hint="default"/>
        <w:color w:val="auto"/>
      </w:rPr>
    </w:lvl>
  </w:abstractNum>
  <w:abstractNum w:abstractNumId="1">
    <w:nsid w:val="BC180C28"/>
    <w:multiLevelType w:val="singleLevel"/>
    <w:tmpl w:val="BC180C28"/>
    <w:lvl w:ilvl="0" w:tentative="0">
      <w:start w:val="1"/>
      <w:numFmt w:val="decimal"/>
      <w:pStyle w:val="16"/>
      <w:suff w:val="nothing"/>
      <w:lvlText w:val="图%1. "/>
      <w:lvlJc w:val="left"/>
      <w:pPr>
        <w:tabs>
          <w:tab w:val="left" w:pos="0"/>
        </w:tabs>
        <w:ind w:left="0" w:firstLine="0"/>
      </w:pPr>
      <w:rPr>
        <w:rFonts w:hint="default"/>
      </w:rPr>
    </w:lvl>
  </w:abstractNum>
  <w:abstractNum w:abstractNumId="2">
    <w:nsid w:val="E50CEFBF"/>
    <w:multiLevelType w:val="multilevel"/>
    <w:tmpl w:val="E50CEFBF"/>
    <w:lvl w:ilvl="0" w:tentative="0">
      <w:start w:val="1"/>
      <w:numFmt w:val="decimal"/>
      <w:lvlText w:val="%1."/>
      <w:lvlJc w:val="left"/>
      <w:pPr>
        <w:ind w:left="425" w:hanging="425"/>
      </w:pPr>
    </w:lvl>
    <w:lvl w:ilvl="1" w:tentative="0">
      <w:start w:val="1"/>
      <w:numFmt w:val="decimal"/>
      <w:lvlText w:val="%1.%2."/>
      <w:lvlJc w:val="left"/>
      <w:pPr>
        <w:ind w:left="567" w:hanging="567"/>
      </w:pPr>
    </w:lvl>
    <w:lvl w:ilvl="2" w:tentative="0">
      <w:start w:val="1"/>
      <w:numFmt w:val="decimal"/>
      <w:lvlText w:val="%1.%2.%3."/>
      <w:lvlJc w:val="left"/>
      <w:pPr>
        <w:ind w:left="709" w:hanging="709"/>
      </w:pPr>
    </w:lvl>
    <w:lvl w:ilvl="3" w:tentative="0">
      <w:start w:val="1"/>
      <w:numFmt w:val="decimal"/>
      <w:lvlText w:val="%1.%2.%3.%4."/>
      <w:lvlJc w:val="left"/>
      <w:pPr>
        <w:ind w:left="851" w:hanging="851"/>
      </w:pPr>
    </w:lvl>
    <w:lvl w:ilvl="4" w:tentative="0">
      <w:start w:val="1"/>
      <w:numFmt w:val="decimal"/>
      <w:lvlText w:val="%1.%2.%3.%4.%5."/>
      <w:lvlJc w:val="left"/>
      <w:pPr>
        <w:ind w:left="992" w:hanging="992"/>
      </w:pPr>
    </w:lvl>
    <w:lvl w:ilvl="5" w:tentative="0">
      <w:start w:val="1"/>
      <w:numFmt w:val="decimal"/>
      <w:lvlText w:val="%1.%2.%3.%4.%5.%6."/>
      <w:lvlJc w:val="left"/>
      <w:pPr>
        <w:ind w:left="1134" w:hanging="1134"/>
      </w:pPr>
    </w:lvl>
    <w:lvl w:ilvl="6" w:tentative="0">
      <w:start w:val="1"/>
      <w:numFmt w:val="decimal"/>
      <w:lvlText w:val="%1.%2.%3.%4.%5.%6.%7."/>
      <w:lvlJc w:val="left"/>
      <w:pPr>
        <w:ind w:left="1276" w:hanging="1276"/>
      </w:p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>
    <w:nsid w:val="EDEA866B"/>
    <w:multiLevelType w:val="singleLevel"/>
    <w:tmpl w:val="EDEA866B"/>
    <w:lvl w:ilvl="0" w:tentative="0">
      <w:start w:val="1"/>
      <w:numFmt w:val="lowerLetter"/>
      <w:suff w:val="space"/>
      <w:lvlText w:val="%1)"/>
      <w:lvlJc w:val="left"/>
    </w:lvl>
  </w:abstractNum>
  <w:abstractNum w:abstractNumId="4">
    <w:nsid w:val="F4EDE0DE"/>
    <w:multiLevelType w:val="singleLevel"/>
    <w:tmpl w:val="F4EDE0DE"/>
    <w:lvl w:ilvl="0" w:tentative="0">
      <w:start w:val="1"/>
      <w:numFmt w:val="lowerLetter"/>
      <w:lvlText w:val="%1)"/>
      <w:lvlJc w:val="left"/>
      <w:pPr>
        <w:tabs>
          <w:tab w:val="left" w:pos="312"/>
        </w:tabs>
      </w:pPr>
    </w:lvl>
  </w:abstractNum>
  <w:abstractNum w:abstractNumId="5">
    <w:nsid w:val="00B8B07E"/>
    <w:multiLevelType w:val="singleLevel"/>
    <w:tmpl w:val="00B8B07E"/>
    <w:lvl w:ilvl="0" w:tentative="0">
      <w:start w:val="1"/>
      <w:numFmt w:val="lowerLetter"/>
      <w:suff w:val="space"/>
      <w:lvlText w:val="%1)"/>
      <w:lvlJc w:val="left"/>
    </w:lvl>
  </w:abstractNum>
  <w:abstractNum w:abstractNumId="6">
    <w:nsid w:val="32D22599"/>
    <w:multiLevelType w:val="multilevel"/>
    <w:tmpl w:val="32D22599"/>
    <w:lvl w:ilvl="0" w:tentative="0">
      <w:start w:val="1"/>
      <w:numFmt w:val="lowerLetter"/>
      <w:lvlText w:val="%1)"/>
      <w:lvlJc w:val="left"/>
      <w:pPr>
        <w:tabs>
          <w:tab w:val="left" w:pos="312"/>
        </w:tabs>
      </w:p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7">
    <w:nsid w:val="5AE25393"/>
    <w:multiLevelType w:val="multilevel"/>
    <w:tmpl w:val="5AE25393"/>
    <w:lvl w:ilvl="0" w:tentative="0">
      <w:start w:val="1"/>
      <w:numFmt w:val="lowerLetter"/>
      <w:lvlText w:val="%1)"/>
      <w:lvlJc w:val="left"/>
      <w:pPr>
        <w:ind w:left="440" w:hanging="440"/>
      </w:p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"/>
  </w:num>
  <w:num w:numId="2">
    <w:abstractNumId w:val="2"/>
  </w:num>
  <w:num w:numId="3">
    <w:abstractNumId w:val="7"/>
  </w:num>
  <w:num w:numId="4">
    <w:abstractNumId w:val="0"/>
  </w:num>
  <w:num w:numId="5">
    <w:abstractNumId w:val="6"/>
  </w:num>
  <w:num w:numId="6">
    <w:abstractNumId w:val="4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FlNmZlNGY2NjBlYTIzNDZkZDE5NTZkN2RjZmM3M2YifQ=="/>
  </w:docVars>
  <w:rsids>
    <w:rsidRoot w:val="58D875ED"/>
    <w:rsid w:val="003819E1"/>
    <w:rsid w:val="004872A7"/>
    <w:rsid w:val="005647F2"/>
    <w:rsid w:val="00B64843"/>
    <w:rsid w:val="00E560A9"/>
    <w:rsid w:val="010D36EB"/>
    <w:rsid w:val="032D2012"/>
    <w:rsid w:val="041D73B3"/>
    <w:rsid w:val="0431507F"/>
    <w:rsid w:val="043952A4"/>
    <w:rsid w:val="053360B8"/>
    <w:rsid w:val="05EC7590"/>
    <w:rsid w:val="06700CFE"/>
    <w:rsid w:val="07B45044"/>
    <w:rsid w:val="08FA48F0"/>
    <w:rsid w:val="0CD077D6"/>
    <w:rsid w:val="0CE340E1"/>
    <w:rsid w:val="0F590F88"/>
    <w:rsid w:val="0FFF5EE2"/>
    <w:rsid w:val="10423415"/>
    <w:rsid w:val="108C14F7"/>
    <w:rsid w:val="14350183"/>
    <w:rsid w:val="174330D0"/>
    <w:rsid w:val="1749439B"/>
    <w:rsid w:val="1794446D"/>
    <w:rsid w:val="188B0260"/>
    <w:rsid w:val="1B0004E7"/>
    <w:rsid w:val="1C112A1C"/>
    <w:rsid w:val="1D594B49"/>
    <w:rsid w:val="1DD3037F"/>
    <w:rsid w:val="1E0267BF"/>
    <w:rsid w:val="1E0C0B95"/>
    <w:rsid w:val="201F2242"/>
    <w:rsid w:val="226F5BEB"/>
    <w:rsid w:val="22B33C6D"/>
    <w:rsid w:val="23EE162D"/>
    <w:rsid w:val="2409256C"/>
    <w:rsid w:val="24CF31BB"/>
    <w:rsid w:val="254523FA"/>
    <w:rsid w:val="26542D2D"/>
    <w:rsid w:val="291F7784"/>
    <w:rsid w:val="2B942D1F"/>
    <w:rsid w:val="2FD17363"/>
    <w:rsid w:val="30F32296"/>
    <w:rsid w:val="31154FBA"/>
    <w:rsid w:val="34F140C4"/>
    <w:rsid w:val="354537A6"/>
    <w:rsid w:val="35EE4E4D"/>
    <w:rsid w:val="38BC4DD5"/>
    <w:rsid w:val="3BDC16AF"/>
    <w:rsid w:val="445E5860"/>
    <w:rsid w:val="450E4C17"/>
    <w:rsid w:val="45156F1B"/>
    <w:rsid w:val="45A2050C"/>
    <w:rsid w:val="467B6766"/>
    <w:rsid w:val="49E67C76"/>
    <w:rsid w:val="4A757FD0"/>
    <w:rsid w:val="4AB01E3E"/>
    <w:rsid w:val="4AC33B83"/>
    <w:rsid w:val="4EAB7E41"/>
    <w:rsid w:val="519F35CD"/>
    <w:rsid w:val="525B20EC"/>
    <w:rsid w:val="53B80F81"/>
    <w:rsid w:val="541F4FCC"/>
    <w:rsid w:val="54A85071"/>
    <w:rsid w:val="552910C4"/>
    <w:rsid w:val="556335CA"/>
    <w:rsid w:val="556439D0"/>
    <w:rsid w:val="57EF268E"/>
    <w:rsid w:val="58021A23"/>
    <w:rsid w:val="58845D45"/>
    <w:rsid w:val="58D875ED"/>
    <w:rsid w:val="59143DC5"/>
    <w:rsid w:val="5B27C341"/>
    <w:rsid w:val="5C0C0CAC"/>
    <w:rsid w:val="5CF875C3"/>
    <w:rsid w:val="5D886781"/>
    <w:rsid w:val="5E322179"/>
    <w:rsid w:val="5FFF71B0"/>
    <w:rsid w:val="62FE6F58"/>
    <w:rsid w:val="644D3B59"/>
    <w:rsid w:val="647F0B32"/>
    <w:rsid w:val="66552780"/>
    <w:rsid w:val="6750395C"/>
    <w:rsid w:val="675F497B"/>
    <w:rsid w:val="679453E2"/>
    <w:rsid w:val="688C0E4F"/>
    <w:rsid w:val="693D2C1A"/>
    <w:rsid w:val="6A4509B4"/>
    <w:rsid w:val="6B371AA7"/>
    <w:rsid w:val="6B5A3D3B"/>
    <w:rsid w:val="6BB21FE2"/>
    <w:rsid w:val="6BDF3BC1"/>
    <w:rsid w:val="6C420E73"/>
    <w:rsid w:val="6CCC4EA0"/>
    <w:rsid w:val="6ED635ED"/>
    <w:rsid w:val="71876217"/>
    <w:rsid w:val="73FD566C"/>
    <w:rsid w:val="74672774"/>
    <w:rsid w:val="74822495"/>
    <w:rsid w:val="74B20EC8"/>
    <w:rsid w:val="75237E0E"/>
    <w:rsid w:val="77FE3D7E"/>
    <w:rsid w:val="79F24743"/>
    <w:rsid w:val="7BDD3EA2"/>
    <w:rsid w:val="7F7F0DA7"/>
    <w:rsid w:val="7FFD3B2E"/>
    <w:rsid w:val="BA9D2DDB"/>
    <w:rsid w:val="DFB50F64"/>
    <w:rsid w:val="DFFF7D5D"/>
    <w:rsid w:val="F329D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8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12">
    <w:name w:val="Default Paragraph Font"/>
    <w:autoRedefine/>
    <w:semiHidden/>
    <w:unhideWhenUsed/>
    <w:qFormat/>
    <w:uiPriority w:val="1"/>
  </w:style>
  <w:style w:type="table" w:default="1" w:styleId="11">
    <w:name w:val="Normal Table"/>
    <w:autoRedefine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eastAsia" w:ascii="等线" w:hAnsi="等线" w:eastAsia="等线" w:cs="等线"/>
      <w:kern w:val="2"/>
      <w:sz w:val="21"/>
      <w:szCs w:val="24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next w:val="1"/>
    <w:autoRedefine/>
    <w:qFormat/>
    <w:uiPriority w:val="35"/>
    <w:pPr>
      <w:jc w:val="center"/>
    </w:pPr>
    <w:rPr>
      <w:rFonts w:eastAsia="黑体"/>
      <w:sz w:val="24"/>
      <w:szCs w:val="20"/>
    </w:rPr>
  </w:style>
  <w:style w:type="paragraph" w:styleId="6">
    <w:name w:val="Body Text Indent"/>
    <w:basedOn w:val="1"/>
    <w:autoRedefine/>
    <w:semiHidden/>
    <w:qFormat/>
    <w:uiPriority w:val="0"/>
    <w:pPr>
      <w:adjustRightInd w:val="0"/>
      <w:snapToGrid w:val="0"/>
      <w:ind w:firstLine="560" w:firstLineChars="200"/>
    </w:pPr>
    <w:rPr>
      <w:rFonts w:ascii="宋体" w:hAnsi="宋体"/>
    </w:rPr>
  </w:style>
  <w:style w:type="paragraph" w:styleId="7">
    <w:name w:val="Plain Text"/>
    <w:basedOn w:val="1"/>
    <w:autoRedefine/>
    <w:qFormat/>
    <w:uiPriority w:val="0"/>
    <w:pPr>
      <w:spacing w:beforeLines="50" w:afterLines="50" w:line="400" w:lineRule="atLeast"/>
    </w:pPr>
    <w:rPr>
      <w:rFonts w:ascii="宋体" w:hAnsi="Courier New"/>
      <w:sz w:val="24"/>
    </w:rPr>
  </w:style>
  <w:style w:type="paragraph" w:styleId="8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Cs w:val="18"/>
    </w:rPr>
  </w:style>
  <w:style w:type="paragraph" w:styleId="9">
    <w:name w:val="Normal (Web)"/>
    <w:basedOn w:val="1"/>
    <w:autoRedefine/>
    <w:qFormat/>
    <w:uiPriority w:val="0"/>
    <w:pPr>
      <w:spacing w:beforeAutospacing="1" w:afterAutospacing="1"/>
      <w:jc w:val="left"/>
    </w:pPr>
    <w:rPr>
      <w:kern w:val="0"/>
      <w:sz w:val="24"/>
    </w:rPr>
  </w:style>
  <w:style w:type="paragraph" w:styleId="10">
    <w:name w:val="Body Text First Indent 2"/>
    <w:basedOn w:val="6"/>
    <w:autoRedefine/>
    <w:qFormat/>
    <w:uiPriority w:val="0"/>
  </w:style>
  <w:style w:type="character" w:styleId="13">
    <w:name w:val="Hyperlink"/>
    <w:basedOn w:val="12"/>
    <w:autoRedefine/>
    <w:qFormat/>
    <w:uiPriority w:val="0"/>
    <w:rPr>
      <w:color w:val="0000FF"/>
      <w:u w:val="single"/>
    </w:rPr>
  </w:style>
  <w:style w:type="paragraph" w:styleId="14">
    <w:name w:val="List Paragraph"/>
    <w:basedOn w:val="1"/>
    <w:autoRedefine/>
    <w:qFormat/>
    <w:uiPriority w:val="34"/>
    <w:pPr>
      <w:ind w:firstLine="420" w:firstLineChars="200"/>
    </w:pPr>
  </w:style>
  <w:style w:type="paragraph" w:customStyle="1" w:styleId="15">
    <w:name w:val="图表"/>
    <w:basedOn w:val="1"/>
    <w:autoRedefine/>
    <w:qFormat/>
    <w:uiPriority w:val="0"/>
    <w:pPr>
      <w:jc w:val="center"/>
    </w:pPr>
    <w:rPr>
      <w:rFonts w:asciiTheme="minorHAnsi" w:hAnsiTheme="minorHAnsi" w:cstheme="minorBidi"/>
      <w:sz w:val="24"/>
      <w:lang w:eastAsia="zh"/>
    </w:rPr>
  </w:style>
  <w:style w:type="paragraph" w:customStyle="1" w:styleId="16">
    <w:name w:val="图片编号"/>
    <w:basedOn w:val="1"/>
    <w:autoRedefine/>
    <w:qFormat/>
    <w:uiPriority w:val="0"/>
    <w:pPr>
      <w:keepNext/>
      <w:numPr>
        <w:ilvl w:val="0"/>
        <w:numId w:val="1"/>
      </w:numPr>
      <w:spacing w:line="300" w:lineRule="auto"/>
      <w:jc w:val="center"/>
    </w:pPr>
    <w:rPr>
      <w:b/>
      <w:sz w:val="24"/>
      <w:szCs w:val="21"/>
    </w:rPr>
  </w:style>
  <w:style w:type="paragraph" w:customStyle="1" w:styleId="17">
    <w:name w:val="表格-题头"/>
    <w:basedOn w:val="1"/>
    <w:autoRedefine/>
    <w:qFormat/>
    <w:uiPriority w:val="0"/>
    <w:pPr>
      <w:spacing w:line="300" w:lineRule="auto"/>
      <w:jc w:val="center"/>
    </w:pPr>
    <w:rPr>
      <w:rFonts w:ascii="宋体" w:hAnsi="宋体" w:cs="宋体"/>
      <w:b/>
      <w:bCs/>
      <w:szCs w:val="20"/>
    </w:rPr>
  </w:style>
  <w:style w:type="paragraph" w:customStyle="1" w:styleId="18">
    <w:name w:val="表格内文字-不加粗"/>
    <w:basedOn w:val="1"/>
    <w:autoRedefine/>
    <w:qFormat/>
    <w:uiPriority w:val="0"/>
    <w:pPr>
      <w:wordWrap w:val="0"/>
      <w:adjustRightInd w:val="0"/>
      <w:snapToGrid w:val="0"/>
      <w:spacing w:line="300" w:lineRule="auto"/>
    </w:pPr>
    <w:rPr>
      <w:rFonts w:ascii="Times New Roman" w:hAnsi="Times New Roman" w:cs="宋体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2032</Words>
  <Characters>2143</Characters>
  <Lines>24</Lines>
  <Paragraphs>6</Paragraphs>
  <TotalTime>0</TotalTime>
  <ScaleCrop>false</ScaleCrop>
  <LinksUpToDate>false</LinksUpToDate>
  <CharactersWithSpaces>2188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2025-06-23T17:37:00Z</dcterms:created>
  <dc:creator>杨波威</dc:creator>
  <cp:lastModifiedBy>Tonight ∝ 鄢 -</cp:lastModifiedBy>
  <dcterms:modified xsi:type="dcterms:W3CDTF">2026-04-08T07:46:47Z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F74F0B241407411CAAD91560F541BC4E_13</vt:lpwstr>
  </property>
  <property fmtid="{D5CDD505-2E9C-101B-9397-08002B2CF9AE}" pid="4" name="KSOTemplateDocerSaveRecord">
    <vt:lpwstr>eyJoZGlkIjoiMGFhMGNhYThkNGRjYTNhZTZkMjJlYzE1MTM0ZTBjODQiLCJ1c2VySWQiOiIxNzI2MjA2MTkyIn0=</vt:lpwstr>
  </property>
</Properties>
</file>