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outlineLvl w:val="0"/>
        <w:rPr>
          <w:rFonts w:ascii="Times New Roman" w:hAnsi="Times New Roman" w:eastAsia="方正小标宋简体" w:cstheme="minorBidi"/>
          <w:szCs w:val="32"/>
        </w:rPr>
      </w:pPr>
      <w:r>
        <w:rPr>
          <w:rFonts w:hint="eastAsia" w:ascii="方正小标宋简体" w:hAnsi="方正小标宋简体" w:eastAsia="方正小标宋简体" w:cs="方正小标宋简体"/>
          <w:sz w:val="44"/>
          <w:szCs w:val="44"/>
          <w:lang w:val="en-US" w:eastAsia="zh-CN"/>
        </w:rPr>
        <w:t>基于气象数据的廊道预警与规划技术研发任务书</w:t>
      </w:r>
    </w:p>
    <w:p>
      <w:pPr>
        <w:pStyle w:val="2"/>
        <w:numPr>
          <w:ilvl w:val="0"/>
          <w:numId w:val="2"/>
        </w:numPr>
        <w:bidi w:val="0"/>
      </w:pPr>
      <w:bookmarkStart w:id="0" w:name="_Toc19421"/>
      <w:bookmarkStart w:id="1" w:name="_Toc673934971"/>
      <w:r>
        <w:t>范围</w:t>
      </w:r>
      <w:bookmarkEnd w:id="0"/>
      <w:bookmarkEnd w:id="1"/>
    </w:p>
    <w:p>
      <w:pPr>
        <w:pStyle w:val="3"/>
        <w:numPr>
          <w:ilvl w:val="1"/>
          <w:numId w:val="2"/>
        </w:numPr>
        <w:bidi w:val="0"/>
      </w:pPr>
      <w:bookmarkStart w:id="2" w:name="_Toc4110"/>
      <w:bookmarkStart w:id="3" w:name="_Toc996303319"/>
      <w:r>
        <w:rPr>
          <w:rFonts w:hint="eastAsia"/>
        </w:rPr>
        <w:t>标识</w:t>
      </w:r>
      <w:bookmarkEnd w:id="2"/>
      <w:bookmarkEnd w:id="3"/>
    </w:p>
    <w:p>
      <w:pPr>
        <w:pStyle w:val="15"/>
        <w:numPr>
          <w:ilvl w:val="0"/>
          <w:numId w:val="3"/>
        </w:numPr>
        <w:spacing w:line="300" w:lineRule="auto"/>
        <w:ind w:firstLineChars="0"/>
        <w:rPr>
          <w:rFonts w:ascii="宋体" w:hAnsi="宋体"/>
          <w:sz w:val="28"/>
          <w:szCs w:val="28"/>
        </w:rPr>
      </w:pPr>
      <w:r>
        <w:rPr>
          <w:rFonts w:ascii="宋体" w:hAnsi="宋体"/>
          <w:sz w:val="28"/>
          <w:szCs w:val="28"/>
        </w:rPr>
        <w:t>标识号</w:t>
      </w:r>
      <w:r>
        <w:rPr>
          <w:rFonts w:hint="eastAsia" w:ascii="宋体" w:hAnsi="宋体"/>
          <w:sz w:val="28"/>
          <w:szCs w:val="28"/>
        </w:rPr>
        <w:t>：</w:t>
      </w:r>
      <w:r>
        <w:rPr>
          <w:rFonts w:hint="eastAsia" w:ascii="宋体" w:hAnsi="宋体"/>
          <w:sz w:val="28"/>
          <w:szCs w:val="28"/>
          <w:lang w:val="en-US" w:eastAsia="zh-CN"/>
        </w:rPr>
        <w:t xml:space="preserve"> </w:t>
      </w:r>
    </w:p>
    <w:p>
      <w:pPr>
        <w:pStyle w:val="15"/>
        <w:numPr>
          <w:ilvl w:val="0"/>
          <w:numId w:val="3"/>
        </w:numPr>
        <w:spacing w:line="300" w:lineRule="auto"/>
        <w:ind w:firstLineChars="0"/>
        <w:rPr>
          <w:rFonts w:hint="eastAsia" w:ascii="宋体" w:hAnsi="宋体"/>
          <w:sz w:val="28"/>
          <w:szCs w:val="28"/>
          <w:lang w:val="en-US" w:eastAsia="zh-CN"/>
        </w:rPr>
      </w:pPr>
      <w:r>
        <w:rPr>
          <w:rFonts w:hint="eastAsia" w:ascii="宋体" w:hAnsi="宋体"/>
          <w:sz w:val="28"/>
          <w:szCs w:val="28"/>
        </w:rPr>
        <w:t>任务</w:t>
      </w:r>
      <w:r>
        <w:rPr>
          <w:rFonts w:ascii="宋体" w:hAnsi="宋体"/>
          <w:sz w:val="28"/>
          <w:szCs w:val="28"/>
        </w:rPr>
        <w:t>名称</w:t>
      </w:r>
      <w:r>
        <w:rPr>
          <w:rFonts w:hint="eastAsia" w:ascii="宋体" w:hAnsi="宋体"/>
          <w:sz w:val="28"/>
          <w:szCs w:val="28"/>
        </w:rPr>
        <w:t>：</w:t>
      </w:r>
      <w:r>
        <w:rPr>
          <w:rFonts w:hint="eastAsia" w:ascii="宋体" w:hAnsi="宋体"/>
          <w:sz w:val="28"/>
          <w:szCs w:val="28"/>
          <w:lang w:val="en-US" w:eastAsia="zh-CN"/>
        </w:rPr>
        <w:t>基于气象数据的廊道预警与规划技术研发任务书</w:t>
      </w:r>
    </w:p>
    <w:p>
      <w:pPr>
        <w:pStyle w:val="3"/>
        <w:numPr>
          <w:ilvl w:val="1"/>
          <w:numId w:val="2"/>
        </w:numPr>
        <w:bidi w:val="0"/>
      </w:pPr>
      <w:bookmarkStart w:id="4" w:name="_Toc939886774"/>
      <w:bookmarkStart w:id="5" w:name="_Toc9777"/>
      <w:r>
        <w:rPr>
          <w:rFonts w:hint="eastAsia"/>
        </w:rPr>
        <w:t>概述</w:t>
      </w:r>
      <w:bookmarkEnd w:id="4"/>
      <w:bookmarkEnd w:id="5"/>
    </w:p>
    <w:p>
      <w:pPr>
        <w:spacing w:line="300" w:lineRule="auto"/>
        <w:ind w:firstLine="560" w:firstLineChars="200"/>
        <w:rPr>
          <w:rFonts w:ascii="宋体" w:hAnsi="宋体"/>
          <w:sz w:val="28"/>
          <w:szCs w:val="28"/>
        </w:rPr>
      </w:pPr>
      <w:r>
        <w:rPr>
          <w:rFonts w:ascii="宋体" w:hAnsi="宋体"/>
          <w:sz w:val="28"/>
          <w:szCs w:val="28"/>
        </w:rPr>
        <w:t>本开发任务书明确了“</w:t>
      </w:r>
      <w:r>
        <w:rPr>
          <w:rFonts w:hint="eastAsia" w:ascii="宋体" w:hAnsi="宋体"/>
          <w:sz w:val="28"/>
          <w:szCs w:val="28"/>
          <w:lang w:val="en-US" w:eastAsia="zh-CN"/>
        </w:rPr>
        <w:t>IWN廊道运维管理平台融合气象数据</w:t>
      </w:r>
      <w:r>
        <w:rPr>
          <w:rFonts w:ascii="宋体" w:hAnsi="宋体"/>
          <w:sz w:val="28"/>
          <w:szCs w:val="28"/>
        </w:rPr>
        <w:t>”的建设范围、功能组成及数据接入要求。</w:t>
      </w:r>
    </w:p>
    <w:p>
      <w:pPr>
        <w:spacing w:line="300" w:lineRule="auto"/>
        <w:ind w:firstLine="560" w:firstLineChars="200"/>
        <w:rPr>
          <w:rFonts w:ascii="宋体" w:hAnsi="宋体"/>
          <w:sz w:val="28"/>
          <w:szCs w:val="28"/>
        </w:rPr>
      </w:pPr>
      <w:r>
        <w:rPr>
          <w:rFonts w:ascii="宋体" w:hAnsi="宋体"/>
          <w:sz w:val="28"/>
          <w:szCs w:val="28"/>
        </w:rPr>
        <w:t>本</w:t>
      </w:r>
      <w:r>
        <w:rPr>
          <w:rFonts w:hint="eastAsia" w:ascii="宋体" w:hAnsi="宋体"/>
          <w:sz w:val="28"/>
          <w:szCs w:val="28"/>
          <w:lang w:val="en-US" w:eastAsia="zh-CN"/>
        </w:rPr>
        <w:t>任务书</w:t>
      </w:r>
      <w:r>
        <w:rPr>
          <w:rFonts w:ascii="宋体" w:hAnsi="宋体"/>
          <w:sz w:val="28"/>
          <w:szCs w:val="28"/>
        </w:rPr>
        <w:t>主要基于现有的《IWN廊道运维管理平台》进行系统功能融合升级。核心建设内容为：通过统一接入专业的高频网格化气象数据，在IWN廊道运维管理平台的基础数据、态势显示、规划计划等底层原生模块</w:t>
      </w:r>
      <w:r>
        <w:rPr>
          <w:rFonts w:ascii="宋体" w:hAnsi="宋体"/>
          <w:color w:val="auto"/>
          <w:sz w:val="28"/>
          <w:szCs w:val="28"/>
        </w:rPr>
        <w:t>中新增核心管控逻辑</w:t>
      </w:r>
      <w:r>
        <w:rPr>
          <w:rFonts w:hint="eastAsia" w:ascii="宋体" w:hAnsi="宋体"/>
          <w:color w:val="auto"/>
          <w:sz w:val="28"/>
          <w:szCs w:val="28"/>
          <w:lang w:eastAsia="zh-CN"/>
        </w:rPr>
        <w:t>：包括气象数据管理与气象禁飞区生成功能，气象数据态势显示功能，以及增加气象禁飞区的</w:t>
      </w:r>
      <w:r>
        <w:rPr>
          <w:rFonts w:hint="eastAsia" w:ascii="宋体" w:hAnsi="宋体"/>
          <w:color w:val="auto"/>
          <w:sz w:val="28"/>
          <w:szCs w:val="28"/>
          <w:lang w:val="en-US" w:eastAsia="zh-CN"/>
        </w:rPr>
        <w:t>利用</w:t>
      </w:r>
      <w:r>
        <w:rPr>
          <w:rFonts w:hint="eastAsia" w:ascii="宋体" w:hAnsi="宋体"/>
          <w:color w:val="auto"/>
          <w:sz w:val="28"/>
          <w:szCs w:val="28"/>
          <w:lang w:eastAsia="zh-CN"/>
        </w:rPr>
        <w:t>能力。</w:t>
      </w:r>
    </w:p>
    <w:p>
      <w:pPr>
        <w:pStyle w:val="2"/>
        <w:numPr>
          <w:ilvl w:val="0"/>
          <w:numId w:val="2"/>
        </w:numPr>
        <w:bidi w:val="0"/>
      </w:pPr>
      <w:bookmarkStart w:id="6" w:name="_Toc1934786933"/>
      <w:bookmarkStart w:id="7" w:name="_Toc23765"/>
      <w:r>
        <w:rPr>
          <w:rFonts w:hint="eastAsia"/>
        </w:rPr>
        <w:t>建设内容及</w:t>
      </w:r>
      <w:r>
        <w:t>技术</w:t>
      </w:r>
      <w:r>
        <w:rPr>
          <w:rFonts w:hint="eastAsia"/>
        </w:rPr>
        <w:t>要求</w:t>
      </w:r>
      <w:bookmarkEnd w:id="6"/>
      <w:bookmarkEnd w:id="7"/>
    </w:p>
    <w:p>
      <w:pPr>
        <w:pStyle w:val="3"/>
        <w:numPr>
          <w:ilvl w:val="1"/>
          <w:numId w:val="2"/>
        </w:numPr>
        <w:bidi w:val="0"/>
      </w:pPr>
      <w:r>
        <w:rPr>
          <w:rFonts w:hint="eastAsia"/>
        </w:rPr>
        <w:t>功能组成</w:t>
      </w:r>
    </w:p>
    <w:p>
      <w:pPr>
        <w:jc w:val="left"/>
        <w:rPr>
          <w:rFonts w:hint="eastAsia" w:eastAsia="宋体"/>
          <w:lang w:eastAsia="zh-CN"/>
        </w:rPr>
      </w:pPr>
      <w:r>
        <w:drawing>
          <wp:inline distT="0" distB="0" distL="114300" distR="114300">
            <wp:extent cx="5271770" cy="3682365"/>
            <wp:effectExtent l="0" t="0" r="127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1770" cy="3682365"/>
                    </a:xfrm>
                    <a:prstGeom prst="rect">
                      <a:avLst/>
                    </a:prstGeom>
                    <a:noFill/>
                    <a:ln>
                      <a:noFill/>
                    </a:ln>
                  </pic:spPr>
                </pic:pic>
              </a:graphicData>
            </a:graphic>
          </wp:inline>
        </w:drawing>
      </w:r>
    </w:p>
    <w:p>
      <w:pPr>
        <w:pStyle w:val="17"/>
        <w:ind w:firstLine="560" w:firstLineChars="200"/>
        <w:rPr>
          <w:rFonts w:hint="eastAsia" w:ascii="Times New Roman" w:hAnsi="Times New Roman" w:eastAsiaTheme="minorEastAsia"/>
          <w:b w:val="0"/>
          <w:bCs/>
          <w:sz w:val="28"/>
          <w:szCs w:val="28"/>
        </w:rPr>
      </w:pPr>
      <w:r>
        <w:rPr>
          <w:rFonts w:hint="eastAsia" w:ascii="Times New Roman" w:hAnsi="Times New Roman" w:eastAsiaTheme="minorEastAsia"/>
          <w:b w:val="0"/>
          <w:bCs/>
          <w:sz w:val="28"/>
          <w:szCs w:val="28"/>
          <w:lang w:val="en-US" w:eastAsia="zh-CN"/>
        </w:rPr>
        <w:t>基于气象数据的廊道预警与规划</w:t>
      </w:r>
      <w:r>
        <w:rPr>
          <w:rFonts w:hint="eastAsia" w:ascii="Times New Roman" w:hAnsi="Times New Roman" w:eastAsiaTheme="minorEastAsia"/>
          <w:b w:val="0"/>
          <w:bCs/>
          <w:sz w:val="28"/>
          <w:szCs w:val="28"/>
        </w:rPr>
        <w:t>功能组成</w:t>
      </w:r>
    </w:p>
    <w:p>
      <w:pPr>
        <w:pStyle w:val="3"/>
        <w:numPr>
          <w:ilvl w:val="1"/>
          <w:numId w:val="2"/>
        </w:numPr>
        <w:bidi w:val="0"/>
      </w:pPr>
      <w:bookmarkStart w:id="8" w:name="_Toc137902460"/>
      <w:bookmarkStart w:id="9" w:name="_Toc1985"/>
      <w:r>
        <w:rPr>
          <w:rFonts w:hint="eastAsia"/>
        </w:rPr>
        <w:t>功能要</w:t>
      </w:r>
      <w:bookmarkEnd w:id="8"/>
      <w:bookmarkEnd w:id="9"/>
      <w:r>
        <w:rPr>
          <w:rFonts w:hint="eastAsia"/>
          <w:lang w:val="en-US" w:eastAsia="zh-CN"/>
        </w:rPr>
        <w:t>求</w:t>
      </w:r>
    </w:p>
    <w:p>
      <w:pPr>
        <w:pStyle w:val="4"/>
        <w:bidi w:val="0"/>
        <w:rPr>
          <w:rFonts w:hint="default"/>
          <w:sz w:val="28"/>
          <w:szCs w:val="28"/>
          <w:lang w:val="en-US" w:eastAsia="zh-CN"/>
        </w:rPr>
      </w:pPr>
      <w:r>
        <w:rPr>
          <w:rFonts w:hint="eastAsia"/>
          <w:lang w:val="en-US" w:eastAsia="zh-CN"/>
        </w:rPr>
        <w:t>2.2.1 廊道态势显示模块：增加气象数据态势显示功能</w:t>
      </w:r>
    </w:p>
    <w:p>
      <w:pPr>
        <w:keepNext w:val="0"/>
        <w:keepLines w:val="0"/>
        <w:pageBreakBefore w:val="0"/>
        <w:widowControl w:val="0"/>
        <w:numPr>
          <w:ilvl w:val="0"/>
          <w:numId w:val="4"/>
        </w:numPr>
        <w:kinsoku/>
        <w:wordWrap/>
        <w:overflowPunct/>
        <w:topLinePunct w:val="0"/>
        <w:autoSpaceDE/>
        <w:autoSpaceDN/>
        <w:bidi w:val="0"/>
        <w:adjustRightInd/>
        <w:snapToGrid/>
        <w:ind w:left="560" w:hanging="560" w:hangingChars="200"/>
        <w:textAlignment w:val="auto"/>
        <w:rPr>
          <w:rFonts w:hint="default"/>
          <w:color w:val="FFC000"/>
          <w:sz w:val="28"/>
          <w:szCs w:val="28"/>
          <w:lang w:val="en-US" w:eastAsia="zh-CN"/>
        </w:rPr>
      </w:pPr>
      <w:r>
        <w:rPr>
          <w:rFonts w:hint="default"/>
          <w:sz w:val="28"/>
          <w:szCs w:val="28"/>
          <w:lang w:val="en-US" w:eastAsia="zh-CN"/>
        </w:rPr>
        <w:t xml:space="preserve"> </w:t>
      </w:r>
      <w:r>
        <w:rPr>
          <w:rFonts w:hint="default"/>
          <w:color w:val="FFC000"/>
          <w:sz w:val="28"/>
          <w:szCs w:val="28"/>
          <w:lang w:val="en-US" w:eastAsia="zh-CN"/>
        </w:rPr>
        <w:t xml:space="preserve"> </w:t>
      </w:r>
      <w:r>
        <w:rPr>
          <w:rFonts w:hint="eastAsia"/>
          <w:color w:val="auto"/>
          <w:sz w:val="28"/>
          <w:szCs w:val="28"/>
          <w:lang w:val="en-US" w:eastAsia="zh-CN"/>
        </w:rPr>
        <w:t>3D态势显示模块增加气象图层控制面板与时空联动功能：在态势大屏增设气象面板与底部时间轴组件。操作员不仅可通过开关独立控制温度（热力图）、降水（色带覆盖）、风速等全局气象图层的显示/隐藏，还可通过拖动时间轴，一键切换查看当前实况或未来24小时内任意时段的气象预报分布状态；</w:t>
      </w:r>
    </w:p>
    <w:p>
      <w:pPr>
        <w:keepNext w:val="0"/>
        <w:keepLines w:val="0"/>
        <w:pageBreakBefore w:val="0"/>
        <w:widowControl w:val="0"/>
        <w:numPr>
          <w:ilvl w:val="0"/>
          <w:numId w:val="4"/>
        </w:numPr>
        <w:kinsoku/>
        <w:wordWrap/>
        <w:overflowPunct/>
        <w:topLinePunct w:val="0"/>
        <w:autoSpaceDE/>
        <w:autoSpaceDN/>
        <w:bidi w:val="0"/>
        <w:adjustRightInd/>
        <w:snapToGrid/>
        <w:ind w:left="560" w:hanging="560" w:hangingChars="200"/>
        <w:textAlignment w:val="auto"/>
        <w:rPr>
          <w:rFonts w:hint="default"/>
          <w:sz w:val="28"/>
          <w:szCs w:val="28"/>
          <w:lang w:val="en-US" w:eastAsia="zh-CN"/>
        </w:rPr>
      </w:pPr>
      <w:r>
        <w:rPr>
          <w:rFonts w:hint="eastAsia"/>
          <w:sz w:val="28"/>
          <w:szCs w:val="28"/>
          <w:lang w:val="en-US" w:eastAsia="zh-CN"/>
        </w:rPr>
        <w:t xml:space="preserve">  3D态势显示模块增加多级气象禁飞区图层与动态渲染功能：在控制面板增设“气象禁飞区”独立开关。开启后，系统自动读取底层的多级禁飞数据，仅针对与无人机廊道网络重叠的受影响区域，在3D空域中根据不同机型类别对应的禁飞等级（如红/橙/黄等差异化色彩）进行直观渲染；渲染状态随底部时间轴的拖动实现时间维度的动态刷新显示；</w:t>
      </w:r>
    </w:p>
    <w:p>
      <w:pPr>
        <w:pStyle w:val="4"/>
        <w:bidi w:val="0"/>
        <w:rPr>
          <w:rFonts w:hint="default"/>
          <w:b/>
          <w:lang w:val="en-US" w:eastAsia="zh-CN"/>
        </w:rPr>
      </w:pPr>
      <w:r>
        <w:rPr>
          <w:rFonts w:hint="eastAsia"/>
          <w:b/>
          <w:lang w:val="en-US" w:eastAsia="zh-CN"/>
        </w:rPr>
        <w:t>2.2.2 廊道基础数据模块：增加气象数据管理和气象禁飞区生成功能</w:t>
      </w:r>
    </w:p>
    <w:p>
      <w:pPr>
        <w:keepNext w:val="0"/>
        <w:keepLines w:val="0"/>
        <w:pageBreakBefore w:val="0"/>
        <w:widowControl w:val="0"/>
        <w:numPr>
          <w:ilvl w:val="0"/>
          <w:numId w:val="5"/>
        </w:numPr>
        <w:kinsoku/>
        <w:wordWrap/>
        <w:overflowPunct/>
        <w:topLinePunct w:val="0"/>
        <w:autoSpaceDE/>
        <w:autoSpaceDN/>
        <w:bidi w:val="0"/>
        <w:adjustRightInd/>
        <w:snapToGrid/>
        <w:ind w:left="560" w:hanging="560" w:hangingChars="200"/>
        <w:textAlignment w:val="auto"/>
        <w:rPr>
          <w:rFonts w:hint="eastAsia"/>
          <w:sz w:val="28"/>
          <w:szCs w:val="28"/>
          <w:lang w:val="en-US" w:eastAsia="zh-CN"/>
        </w:rPr>
      </w:pPr>
      <w:r>
        <w:rPr>
          <w:rFonts w:hint="eastAsia"/>
          <w:sz w:val="28"/>
          <w:szCs w:val="28"/>
          <w:lang w:val="en-US" w:eastAsia="zh-CN"/>
        </w:rPr>
        <w:t xml:space="preserve">  </w:t>
      </w:r>
      <w:bookmarkStart w:id="10" w:name="OLE_LINK1"/>
      <w:r>
        <w:rPr>
          <w:rFonts w:hint="eastAsia"/>
          <w:sz w:val="28"/>
          <w:szCs w:val="28"/>
          <w:lang w:val="en-US" w:eastAsia="zh-CN"/>
        </w:rPr>
        <w:t>基础数据模块增加气象数据后台自动化获取与处理功能，能够高频定时拉取专业气象服务商的网格化气象实况与预报数据，提供标准查询接口供其他模块调用；</w:t>
      </w:r>
    </w:p>
    <w:bookmarkEnd w:id="10"/>
    <w:p>
      <w:pPr>
        <w:keepNext w:val="0"/>
        <w:keepLines w:val="0"/>
        <w:pageBreakBefore w:val="0"/>
        <w:widowControl w:val="0"/>
        <w:numPr>
          <w:ilvl w:val="0"/>
          <w:numId w:val="5"/>
        </w:numPr>
        <w:kinsoku/>
        <w:wordWrap/>
        <w:overflowPunct/>
        <w:topLinePunct w:val="0"/>
        <w:autoSpaceDE/>
        <w:autoSpaceDN/>
        <w:bidi w:val="0"/>
        <w:adjustRightInd/>
        <w:snapToGrid/>
        <w:ind w:left="560" w:hanging="560" w:hangingChars="200"/>
        <w:textAlignment w:val="auto"/>
        <w:rPr>
          <w:rFonts w:hint="eastAsia"/>
          <w:sz w:val="28"/>
          <w:szCs w:val="28"/>
          <w:lang w:val="en-US" w:eastAsia="zh-CN"/>
        </w:rPr>
      </w:pPr>
      <w:r>
        <w:rPr>
          <w:rFonts w:hint="eastAsia"/>
          <w:sz w:val="28"/>
          <w:szCs w:val="28"/>
          <w:lang w:val="en-US" w:eastAsia="zh-CN"/>
        </w:rPr>
        <w:t xml:space="preserve">  基础数据模块增加分机型/分级别气象预警阈值配置功能，支持管理人员针对不同类别无人机（如轻小微型、中大型工业级等）自由设置触发禁飞的差异化指标（如：设置A类机型风速&gt;10m/s禁飞，B类机型风速&gt;15m/s禁飞）；</w:t>
      </w:r>
    </w:p>
    <w:p>
      <w:pPr>
        <w:keepNext w:val="0"/>
        <w:keepLines w:val="0"/>
        <w:pageBreakBefore w:val="0"/>
        <w:widowControl w:val="0"/>
        <w:numPr>
          <w:ilvl w:val="0"/>
          <w:numId w:val="5"/>
        </w:numPr>
        <w:kinsoku/>
        <w:wordWrap/>
        <w:overflowPunct/>
        <w:topLinePunct w:val="0"/>
        <w:autoSpaceDE/>
        <w:autoSpaceDN/>
        <w:bidi w:val="0"/>
        <w:adjustRightInd/>
        <w:snapToGrid/>
        <w:ind w:left="560" w:hanging="560" w:hangingChars="200"/>
        <w:textAlignment w:val="auto"/>
        <w:rPr>
          <w:rFonts w:hint="eastAsia"/>
          <w:sz w:val="28"/>
          <w:szCs w:val="28"/>
          <w:lang w:val="en-US" w:eastAsia="zh-CN"/>
        </w:rPr>
      </w:pPr>
      <w:r>
        <w:rPr>
          <w:rFonts w:hint="eastAsia"/>
          <w:sz w:val="28"/>
          <w:szCs w:val="28"/>
          <w:lang w:val="en-US" w:eastAsia="zh-CN"/>
        </w:rPr>
        <w:t xml:space="preserve">  基础数据模块增加多级气象禁飞区自动生成引擎功能，能够基于获取的最新气象预报数据，结合上述分机型自定义设置的风速、降雨等指标，在系统后台自动计算并生成包含具体网格编号、生效时间段及适用机型标签的“多级气象禁飞区”数据池，供其他业务模块实时调用。</w:t>
      </w:r>
    </w:p>
    <w:p>
      <w:pPr>
        <w:pStyle w:val="4"/>
        <w:bidi w:val="0"/>
        <w:rPr>
          <w:rFonts w:hint="eastAsia"/>
          <w:b/>
          <w:lang w:val="en-US" w:eastAsia="zh-CN"/>
        </w:rPr>
      </w:pPr>
      <w:r>
        <w:rPr>
          <w:rFonts w:hint="eastAsia"/>
          <w:b/>
          <w:lang w:val="en-US" w:eastAsia="zh-CN"/>
        </w:rPr>
        <w:t>2.2.3 规划计划模块：增加利用气象禁飞区的能力</w:t>
      </w:r>
    </w:p>
    <w:p>
      <w:pPr>
        <w:keepNext w:val="0"/>
        <w:keepLines w:val="0"/>
        <w:pageBreakBefore w:val="0"/>
        <w:widowControl w:val="0"/>
        <w:numPr>
          <w:ilvl w:val="0"/>
          <w:numId w:val="6"/>
        </w:numPr>
        <w:kinsoku/>
        <w:wordWrap/>
        <w:overflowPunct/>
        <w:topLinePunct w:val="0"/>
        <w:autoSpaceDE/>
        <w:autoSpaceDN/>
        <w:bidi w:val="0"/>
        <w:adjustRightInd/>
        <w:snapToGrid/>
        <w:ind w:left="560" w:hanging="560" w:hangingChars="200"/>
        <w:textAlignment w:val="auto"/>
        <w:rPr>
          <w:rFonts w:hint="eastAsia"/>
          <w:sz w:val="28"/>
          <w:szCs w:val="28"/>
          <w:lang w:val="en-US" w:eastAsia="zh-CN"/>
        </w:rPr>
      </w:pPr>
      <w:r>
        <w:rPr>
          <w:rFonts w:hint="eastAsia"/>
          <w:sz w:val="28"/>
          <w:szCs w:val="28"/>
          <w:lang w:val="en-US" w:eastAsia="zh-CN"/>
        </w:rPr>
        <w:t xml:space="preserve">  </w:t>
      </w:r>
      <w:bookmarkStart w:id="14" w:name="_GoBack"/>
      <w:bookmarkEnd w:id="14"/>
      <w:r>
        <w:rPr>
          <w:rFonts w:hint="eastAsia"/>
          <w:sz w:val="28"/>
          <w:szCs w:val="28"/>
          <w:lang w:val="en-US" w:eastAsia="zh-CN"/>
        </w:rPr>
        <w:t>规划计划模块增加航线防撞前置评估与阻断功能，在生成飞行任务或接收外部航线申请时，系统能够识别当前申报飞机的机型类别，并自动匹配读取对应的“气象禁飞区”数据，精准判断当前拟飞路径及时段是否与该类机型的专属禁飞区存在重叠。若命中冲突，系统将直接阻断审批，并基于未来24小时预报自动为用户推荐相邻的气象适飞时间窗口；若该航线在未来24小时内全时段受气象封锁，则明确输出“全天候禁飞”的拦截提示；此外，该功能底层预留了空间维度的柔性重规划接口，未来升级将支持自动为用户推荐绕行周边安全廊道的备选航线方案。</w:t>
      </w:r>
    </w:p>
    <w:p>
      <w:pPr>
        <w:pStyle w:val="3"/>
        <w:numPr>
          <w:ilvl w:val="1"/>
          <w:numId w:val="2"/>
        </w:numPr>
        <w:bidi w:val="0"/>
        <w:rPr>
          <w:rFonts w:hint="eastAsia"/>
        </w:rPr>
      </w:pPr>
      <w:bookmarkStart w:id="11" w:name="_Toc13296"/>
      <w:bookmarkStart w:id="12" w:name="_Toc1545732276"/>
      <w:r>
        <w:rPr>
          <w:rFonts w:hint="eastAsia"/>
        </w:rPr>
        <w:t>软件性能要求</w:t>
      </w:r>
      <w:bookmarkEnd w:id="11"/>
      <w:bookmarkEnd w:id="12"/>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lang w:val="en-US" w:eastAsia="zh-CN"/>
        </w:rPr>
        <w:t>支持</w:t>
      </w:r>
      <w:r>
        <w:rPr>
          <w:rFonts w:hint="eastAsia" w:asciiTheme="minorEastAsia" w:hAnsiTheme="minorEastAsia" w:eastAsiaTheme="minorEastAsia" w:cstheme="minorEastAsia"/>
          <w:sz w:val="28"/>
          <w:szCs w:val="28"/>
        </w:rPr>
        <w:t>飞行器数量：≥100架（实测）；≥5000架（设计）；</w:t>
      </w:r>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应在应用模块层、云计算层进行低时延性能优化，满足平均端到端时延不超过1s；</w:t>
      </w:r>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在选配合理配置的硬件并增加硬件数量的情况下，应</w:t>
      </w:r>
      <w:r>
        <w:rPr>
          <w:rFonts w:hint="eastAsia" w:asciiTheme="minorEastAsia" w:hAnsiTheme="minorEastAsia" w:eastAsiaTheme="minorEastAsia" w:cstheme="minorEastAsia"/>
          <w:sz w:val="28"/>
          <w:szCs w:val="28"/>
          <w:lang w:val="en-US" w:eastAsia="zh-CN"/>
        </w:rPr>
        <w:t>支持</w:t>
      </w:r>
      <w:r>
        <w:rPr>
          <w:rFonts w:hint="eastAsia" w:asciiTheme="minorEastAsia" w:hAnsiTheme="minorEastAsia" w:eastAsiaTheme="minorEastAsia" w:cstheme="minorEastAsia"/>
          <w:sz w:val="28"/>
          <w:szCs w:val="28"/>
        </w:rPr>
        <w:t>5000架飞行器同时</w:t>
      </w:r>
      <w:r>
        <w:rPr>
          <w:rFonts w:hint="eastAsia" w:asciiTheme="minorEastAsia" w:hAnsiTheme="minorEastAsia" w:eastAsiaTheme="minorEastAsia" w:cstheme="minorEastAsia"/>
          <w:sz w:val="28"/>
          <w:szCs w:val="28"/>
          <w:lang w:val="en-US" w:eastAsia="zh-CN"/>
        </w:rPr>
        <w:t>在线的</w:t>
      </w:r>
      <w:r>
        <w:rPr>
          <w:rFonts w:hint="eastAsia" w:asciiTheme="minorEastAsia" w:hAnsiTheme="minorEastAsia" w:eastAsiaTheme="minorEastAsia" w:cstheme="minorEastAsia"/>
          <w:sz w:val="28"/>
          <w:szCs w:val="28"/>
        </w:rPr>
        <w:t>能力；</w:t>
      </w:r>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支持飞行器的类型数量：≥3类（Mavlink、DJI、AEE等）；</w:t>
      </w:r>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bookmarkStart w:id="13" w:name="_Hlk180145379"/>
      <w:r>
        <w:rPr>
          <w:rFonts w:hint="eastAsia" w:asciiTheme="minorEastAsia" w:hAnsiTheme="minorEastAsia" w:eastAsiaTheme="minorEastAsia" w:cstheme="minorEastAsia"/>
          <w:sz w:val="28"/>
          <w:szCs w:val="28"/>
        </w:rPr>
        <w:t>软件成熟度达到七级</w:t>
      </w:r>
      <w:r>
        <w:rPr>
          <w:rFonts w:hint="eastAsia" w:asciiTheme="minorEastAsia" w:hAnsiTheme="minorEastAsia" w:eastAsiaTheme="minorEastAsia" w:cstheme="minorEastAsia"/>
          <w:sz w:val="28"/>
          <w:szCs w:val="28"/>
          <w:lang w:eastAsia="zh-CN"/>
        </w:rPr>
        <w:t>；</w:t>
      </w:r>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r>
        <w:rPr>
          <w:rFonts w:asciiTheme="minorEastAsia" w:hAnsiTheme="minorEastAsia" w:eastAsiaTheme="minorEastAsia" w:cstheme="minorEastAsia"/>
          <w:sz w:val="28"/>
          <w:szCs w:val="28"/>
        </w:rPr>
        <w:t>针对 1km 级实况数据后台定时抓取与更新频率须 ≤ 1分钟/次。</w:t>
      </w:r>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r>
        <w:rPr>
          <w:rFonts w:asciiTheme="minorEastAsia" w:hAnsiTheme="minorEastAsia" w:eastAsiaTheme="minorEastAsia" w:cstheme="minorEastAsia"/>
          <w:sz w:val="28"/>
          <w:szCs w:val="28"/>
        </w:rPr>
        <w:t>针对 5km 级逐小时气象预报数据，后台定时抓取与更新频率须 ≤ 15分钟/次。</w:t>
      </w:r>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r>
        <w:rPr>
          <w:rFonts w:asciiTheme="minorEastAsia" w:hAnsiTheme="minorEastAsia" w:eastAsiaTheme="minorEastAsia" w:cstheme="minorEastAsia"/>
          <w:sz w:val="28"/>
          <w:szCs w:val="28"/>
        </w:rPr>
        <w:t>针对 20km 级天级别长效预报数据，后台定时抓取与更新频率须 ≤ 120分钟/次。</w:t>
      </w:r>
    </w:p>
    <w:p>
      <w:pPr>
        <w:pStyle w:val="15"/>
        <w:numPr>
          <w:ilvl w:val="0"/>
          <w:numId w:val="7"/>
        </w:numPr>
        <w:spacing w:line="300" w:lineRule="auto"/>
        <w:ind w:firstLine="480"/>
        <w:outlineLvl w:val="2"/>
        <w:rPr>
          <w:rFonts w:asciiTheme="minorEastAsia" w:hAnsiTheme="minorEastAsia" w:eastAsiaTheme="minorEastAsia" w:cstheme="minorEastAsia"/>
          <w:sz w:val="28"/>
          <w:szCs w:val="28"/>
        </w:rPr>
      </w:pPr>
      <w:r>
        <w:rPr>
          <w:rFonts w:asciiTheme="minorEastAsia" w:hAnsiTheme="minorEastAsia" w:eastAsiaTheme="minorEastAsia" w:cstheme="minorEastAsia"/>
          <w:sz w:val="28"/>
          <w:szCs w:val="28"/>
        </w:rPr>
        <w:t>系统后台在接收到最新频次的气象网格数据</w:t>
      </w:r>
      <w:r>
        <w:rPr>
          <w:rFonts w:hint="eastAsia" w:asciiTheme="minorEastAsia" w:hAnsiTheme="minorEastAsia" w:eastAsiaTheme="minorEastAsia" w:cstheme="minorEastAsia"/>
          <w:sz w:val="28"/>
          <w:szCs w:val="28"/>
          <w:lang w:eastAsia="zh-CN"/>
        </w:rPr>
        <w:t>，</w:t>
      </w:r>
      <w:r>
        <w:rPr>
          <w:rFonts w:asciiTheme="minorEastAsia" w:hAnsiTheme="minorEastAsia" w:eastAsiaTheme="minorEastAsia" w:cstheme="minorEastAsia"/>
          <w:sz w:val="28"/>
          <w:szCs w:val="28"/>
        </w:rPr>
        <w:t>官方突发预警后，完成JSON数据解析、与3D物理廊道网格的空间映射比对、以及生成/刷新“气象禁飞区”状态记录的内部核心运算耗时应 ≤ 500ms，确保整个态势显示渲染与健康管理告警的端到端响应时延控制在 1s 以内。</w:t>
      </w:r>
    </w:p>
    <w:p>
      <w:pPr>
        <w:pStyle w:val="3"/>
        <w:numPr>
          <w:ilvl w:val="1"/>
          <w:numId w:val="2"/>
        </w:numPr>
        <w:bidi w:val="0"/>
        <w:rPr>
          <w:rFonts w:hint="default"/>
          <w:lang w:val="en-US" w:eastAsia="zh-CN"/>
        </w:rPr>
      </w:pPr>
      <w:r>
        <w:rPr>
          <w:rFonts w:hint="eastAsia"/>
          <w:lang w:val="en-US" w:eastAsia="zh-CN"/>
        </w:rPr>
        <w:t xml:space="preserve"> 数据要求</w:t>
      </w:r>
    </w:p>
    <w:p>
      <w:pPr>
        <w:pStyle w:val="15"/>
        <w:numPr>
          <w:ilvl w:val="0"/>
          <w:numId w:val="0"/>
        </w:numPr>
        <w:spacing w:line="300" w:lineRule="auto"/>
        <w:ind w:firstLine="420" w:firstLineChars="0"/>
        <w:outlineLvl w:val="2"/>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结合实际业务场景及外部气象源API接口服务能力，本项目融合的气象数据需满足以下要求：</w:t>
      </w:r>
    </w:p>
    <w:p>
      <w:pPr>
        <w:pStyle w:val="15"/>
        <w:numPr>
          <w:ilvl w:val="0"/>
          <w:numId w:val="8"/>
        </w:numPr>
        <w:spacing w:line="300" w:lineRule="auto"/>
        <w:ind w:firstLine="480"/>
        <w:outlineLvl w:val="2"/>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需要提供空间分辨率为 1km×1km 的高频气象实况（更新频率 1分钟/次）；</w:t>
      </w:r>
    </w:p>
    <w:p>
      <w:pPr>
        <w:pStyle w:val="15"/>
        <w:numPr>
          <w:ilvl w:val="0"/>
          <w:numId w:val="8"/>
        </w:numPr>
        <w:spacing w:line="300" w:lineRule="auto"/>
        <w:ind w:firstLine="480"/>
        <w:outlineLvl w:val="2"/>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需要提供空间分辨率为 5km×5km 的逐小时网格预报数据（更新频率 15分钟/次，预报周期涵盖未来360小时），以及分辨率为 20km×20km 的天级别长效预报数据（更新频率 120分钟/次</w:t>
      </w:r>
      <w:r>
        <w:rPr>
          <w:rFonts w:hint="eastAsia" w:asciiTheme="minorEastAsia" w:hAnsiTheme="minorEastAsia" w:eastAsiaTheme="minorEastAsia" w:cstheme="minorEastAsia"/>
          <w:sz w:val="28"/>
          <w:szCs w:val="28"/>
          <w:lang w:val="en-US" w:eastAsia="zh-CN"/>
        </w:rPr>
        <w:t>，</w:t>
      </w:r>
      <w:r>
        <w:rPr>
          <w:rFonts w:hint="default" w:asciiTheme="minorEastAsia" w:hAnsiTheme="minorEastAsia" w:eastAsiaTheme="minorEastAsia" w:cstheme="minorEastAsia"/>
          <w:sz w:val="28"/>
          <w:szCs w:val="28"/>
          <w:lang w:val="en-US" w:eastAsia="zh-CN"/>
        </w:rPr>
        <w:t>预报周期涵盖未来</w:t>
      </w:r>
      <w:r>
        <w:rPr>
          <w:rFonts w:hint="eastAsia" w:asciiTheme="minorEastAsia" w:hAnsiTheme="minorEastAsia" w:eastAsiaTheme="minorEastAsia" w:cstheme="minorEastAsia"/>
          <w:sz w:val="28"/>
          <w:szCs w:val="28"/>
          <w:lang w:val="en-US" w:eastAsia="zh-CN"/>
        </w:rPr>
        <w:t>15-40天</w:t>
      </w:r>
      <w:r>
        <w:rPr>
          <w:rFonts w:hint="default" w:asciiTheme="minorEastAsia" w:hAnsiTheme="minorEastAsia" w:eastAsiaTheme="minorEastAsia" w:cstheme="minorEastAsia"/>
          <w:sz w:val="28"/>
          <w:szCs w:val="28"/>
          <w:lang w:val="en-US" w:eastAsia="zh-CN"/>
        </w:rPr>
        <w:t>）；</w:t>
      </w:r>
    </w:p>
    <w:p>
      <w:pPr>
        <w:pStyle w:val="15"/>
        <w:numPr>
          <w:ilvl w:val="0"/>
          <w:numId w:val="8"/>
        </w:numPr>
        <w:spacing w:line="300" w:lineRule="auto"/>
        <w:ind w:firstLine="480"/>
        <w:outlineLvl w:val="2"/>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网格气象要素需完整包含地表的风速、风向、温度、湿度、降水量等常规基础数据；</w:t>
      </w:r>
    </w:p>
    <w:p>
      <w:pPr>
        <w:pStyle w:val="15"/>
        <w:numPr>
          <w:ilvl w:val="0"/>
          <w:numId w:val="8"/>
        </w:numPr>
        <w:spacing w:line="300" w:lineRule="auto"/>
        <w:ind w:firstLine="480"/>
        <w:outlineLvl w:val="2"/>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数据主要以标准化的 API 接口调用的方式提供，支持系统后端依据不同预报周期进行多频次（如1分钟/15分钟/120分钟）的定时自动化拉取与解析落库。</w:t>
      </w:r>
    </w:p>
    <w:bookmarkEnd w:id="13"/>
    <w:p>
      <w:pPr>
        <w:pStyle w:val="15"/>
        <w:numPr>
          <w:ilvl w:val="0"/>
          <w:numId w:val="2"/>
        </w:numPr>
        <w:spacing w:line="300" w:lineRule="auto"/>
        <w:ind w:firstLineChars="0"/>
        <w:outlineLvl w:val="0"/>
        <w:rPr>
          <w:rFonts w:ascii="黑体" w:hAnsi="黑体" w:eastAsia="黑体"/>
          <w:sz w:val="28"/>
          <w:szCs w:val="28"/>
        </w:rPr>
      </w:pPr>
      <w:r>
        <w:rPr>
          <w:rFonts w:hint="eastAsia" w:ascii="黑体" w:hAnsi="黑体" w:eastAsia="黑体"/>
          <w:sz w:val="28"/>
          <w:szCs w:val="28"/>
        </w:rPr>
        <w:t>研发方式</w:t>
      </w:r>
    </w:p>
    <w:p>
      <w:pPr>
        <w:spacing w:line="300" w:lineRule="auto"/>
        <w:ind w:firstLine="560" w:firstLineChars="200"/>
        <w:rPr>
          <w:rFonts w:ascii="宋体" w:hAnsi="宋体"/>
          <w:sz w:val="28"/>
          <w:szCs w:val="28"/>
        </w:rPr>
      </w:pPr>
      <w:r>
        <w:rPr>
          <w:rFonts w:hint="eastAsia" w:ascii="宋体" w:hAnsi="宋体"/>
          <w:sz w:val="28"/>
          <w:szCs w:val="28"/>
        </w:rPr>
        <w:t>迭代开发，一周一个可检查成果。</w:t>
      </w:r>
    </w:p>
    <w:p>
      <w:pPr>
        <w:pStyle w:val="15"/>
        <w:numPr>
          <w:ilvl w:val="0"/>
          <w:numId w:val="2"/>
        </w:numPr>
        <w:spacing w:line="300" w:lineRule="auto"/>
        <w:ind w:firstLineChars="0"/>
        <w:outlineLvl w:val="0"/>
        <w:rPr>
          <w:rFonts w:ascii="黑体" w:hAnsi="黑体" w:eastAsia="黑体"/>
          <w:sz w:val="28"/>
          <w:szCs w:val="28"/>
        </w:rPr>
      </w:pPr>
      <w:r>
        <w:rPr>
          <w:rFonts w:hint="eastAsia" w:ascii="黑体" w:hAnsi="黑体" w:eastAsia="黑体"/>
          <w:sz w:val="28"/>
          <w:szCs w:val="28"/>
        </w:rPr>
        <w:t>验收</w:t>
      </w:r>
    </w:p>
    <w:p>
      <w:pPr>
        <w:spacing w:line="300" w:lineRule="auto"/>
        <w:ind w:firstLine="560" w:firstLineChars="200"/>
        <w:rPr>
          <w:bCs/>
          <w:sz w:val="28"/>
          <w:szCs w:val="28"/>
        </w:rPr>
      </w:pPr>
      <w:r>
        <w:rPr>
          <w:rFonts w:hint="eastAsia" w:ascii="宋体" w:hAnsi="宋体"/>
          <w:sz w:val="28"/>
          <w:szCs w:val="28"/>
        </w:rPr>
        <w:t>具备自测试能力，验收前，根据要求完成文档检查、软件测试，文档齐套，软件模块功能、性能、接口测试满足全部要求后进行验收。</w:t>
      </w:r>
    </w:p>
    <w:p>
      <w:pPr>
        <w:pStyle w:val="15"/>
        <w:numPr>
          <w:ilvl w:val="0"/>
          <w:numId w:val="2"/>
        </w:numPr>
        <w:spacing w:line="300" w:lineRule="auto"/>
        <w:ind w:firstLineChars="0"/>
        <w:outlineLvl w:val="0"/>
        <w:rPr>
          <w:rFonts w:ascii="黑体" w:hAnsi="黑体" w:eastAsia="黑体"/>
          <w:sz w:val="28"/>
          <w:szCs w:val="28"/>
        </w:rPr>
      </w:pPr>
      <w:r>
        <w:rPr>
          <w:rFonts w:hint="eastAsia" w:ascii="黑体" w:hAnsi="黑体" w:eastAsia="黑体"/>
          <w:sz w:val="28"/>
          <w:szCs w:val="28"/>
        </w:rPr>
        <w:t>开发进度</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2088"/>
        <w:gridCol w:w="3606"/>
        <w:gridCol w:w="1092"/>
        <w:gridCol w:w="12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序号</w:t>
            </w:r>
          </w:p>
        </w:tc>
        <w:tc>
          <w:tcPr>
            <w:tcW w:w="2088" w:type="dxa"/>
            <w:vAlign w:val="center"/>
          </w:tcPr>
          <w:p>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计划进度</w:t>
            </w:r>
          </w:p>
          <w:p>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里程碑节点</w:t>
            </w:r>
          </w:p>
        </w:tc>
        <w:tc>
          <w:tcPr>
            <w:tcW w:w="3606" w:type="dxa"/>
            <w:vAlign w:val="center"/>
          </w:tcPr>
          <w:p>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交付内容及要求</w:t>
            </w:r>
          </w:p>
        </w:tc>
        <w:tc>
          <w:tcPr>
            <w:tcW w:w="1092"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验收方式</w:t>
            </w:r>
          </w:p>
        </w:tc>
        <w:tc>
          <w:tcPr>
            <w:tcW w:w="1255" w:type="dxa"/>
            <w:vAlign w:val="center"/>
          </w:tcPr>
          <w:p>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时间进度</w:t>
            </w:r>
          </w:p>
          <w:p>
            <w:pPr>
              <w:keepNext w:val="0"/>
              <w:keepLines w:val="0"/>
              <w:suppressLineNumbers w:val="0"/>
              <w:spacing w:before="0" w:beforeAutospacing="0" w:after="0" w:afterAutospacing="0" w:line="288" w:lineRule="auto"/>
              <w:ind w:left="0" w:right="0"/>
              <w:jc w:val="center"/>
              <w:rPr>
                <w:rFonts w:hint="eastAsia"/>
                <w:bCs/>
                <w:sz w:val="28"/>
                <w:szCs w:val="28"/>
              </w:rPr>
            </w:pPr>
            <w:r>
              <w:rPr>
                <w:rFonts w:hint="eastAsia"/>
                <w:bCs/>
                <w:sz w:val="28"/>
                <w:szCs w:val="28"/>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1</w:t>
            </w:r>
          </w:p>
        </w:tc>
        <w:tc>
          <w:tcPr>
            <w:tcW w:w="2088"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完成气象融合方案设计、彩云API对接确认及前端UI设计工作。</w:t>
            </w:r>
          </w:p>
        </w:tc>
        <w:tc>
          <w:tcPr>
            <w:tcW w:w="3606" w:type="dxa"/>
            <w:vAlign w:val="center"/>
          </w:tcPr>
          <w:p>
            <w:pPr>
              <w:keepNext w:val="0"/>
              <w:keepLines w:val="0"/>
              <w:suppressLineNumbers w:val="0"/>
              <w:spacing w:before="0" w:beforeAutospacing="0" w:after="0" w:afterAutospacing="0" w:line="288" w:lineRule="auto"/>
              <w:ind w:left="0" w:right="0"/>
              <w:rPr>
                <w:rFonts w:hint="eastAsia"/>
                <w:bCs/>
                <w:sz w:val="28"/>
                <w:szCs w:val="28"/>
                <w:lang w:val="en-US" w:eastAsia="zh-CN"/>
              </w:rPr>
            </w:pPr>
            <w:r>
              <w:rPr>
                <w:rFonts w:hint="eastAsia"/>
                <w:bCs/>
                <w:sz w:val="28"/>
                <w:szCs w:val="28"/>
                <w:lang w:val="en-US" w:eastAsia="zh-CN"/>
              </w:rPr>
              <w:t>气象数据融合需求规格说明书</w:t>
            </w:r>
          </w:p>
          <w:p>
            <w:pPr>
              <w:keepNext w:val="0"/>
              <w:keepLines w:val="0"/>
              <w:suppressLineNumbers w:val="0"/>
              <w:spacing w:before="0" w:beforeAutospacing="0" w:after="0" w:afterAutospacing="0" w:line="288" w:lineRule="auto"/>
              <w:ind w:left="0" w:right="0"/>
              <w:rPr>
                <w:rFonts w:hint="eastAsia"/>
                <w:bCs/>
                <w:sz w:val="28"/>
                <w:szCs w:val="28"/>
                <w:lang w:val="en-US" w:eastAsia="zh-CN"/>
              </w:rPr>
            </w:pPr>
            <w:r>
              <w:rPr>
                <w:rFonts w:hint="eastAsia"/>
                <w:bCs/>
                <w:sz w:val="28"/>
                <w:szCs w:val="28"/>
                <w:lang w:val="en-US" w:eastAsia="zh-CN"/>
              </w:rPr>
              <w:t>气象融合方案概要设计</w:t>
            </w:r>
          </w:p>
          <w:p>
            <w:pPr>
              <w:keepNext w:val="0"/>
              <w:keepLines w:val="0"/>
              <w:suppressLineNumbers w:val="0"/>
              <w:spacing w:before="0" w:beforeAutospacing="0" w:after="0" w:afterAutospacing="0" w:line="288" w:lineRule="auto"/>
              <w:ind w:left="0" w:right="0"/>
              <w:rPr>
                <w:rFonts w:hint="eastAsia"/>
                <w:bCs/>
                <w:sz w:val="28"/>
                <w:szCs w:val="28"/>
                <w:lang w:val="en-US" w:eastAsia="zh-CN"/>
              </w:rPr>
            </w:pPr>
            <w:r>
              <w:rPr>
                <w:rFonts w:hint="eastAsia"/>
                <w:bCs/>
                <w:sz w:val="28"/>
                <w:szCs w:val="28"/>
                <w:lang w:val="en-US" w:eastAsia="zh-CN"/>
              </w:rPr>
              <w:t>气象功能原型与UI设计</w:t>
            </w:r>
          </w:p>
          <w:p>
            <w:pPr>
              <w:keepNext w:val="0"/>
              <w:keepLines w:val="0"/>
              <w:suppressLineNumbers w:val="0"/>
              <w:spacing w:before="0" w:beforeAutospacing="0" w:after="0" w:afterAutospacing="0" w:line="288" w:lineRule="auto"/>
              <w:ind w:left="0" w:right="0"/>
              <w:rPr>
                <w:rFonts w:hint="eastAsia"/>
                <w:bCs/>
                <w:sz w:val="28"/>
                <w:szCs w:val="28"/>
                <w:lang w:val="en-US" w:eastAsia="zh-CN"/>
              </w:rPr>
            </w:pPr>
          </w:p>
        </w:tc>
        <w:tc>
          <w:tcPr>
            <w:tcW w:w="1092"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会议评审</w:t>
            </w:r>
          </w:p>
        </w:tc>
        <w:tc>
          <w:tcPr>
            <w:tcW w:w="1255" w:type="dxa"/>
            <w:vAlign w:val="center"/>
          </w:tcPr>
          <w:p>
            <w:pPr>
              <w:keepNext w:val="0"/>
              <w:keepLines w:val="0"/>
              <w:suppressLineNumbers w:val="0"/>
              <w:spacing w:before="0" w:beforeAutospacing="0" w:after="0" w:afterAutospacing="0" w:line="288" w:lineRule="auto"/>
              <w:ind w:left="0" w:right="0"/>
              <w:rPr>
                <w:rFonts w:hint="eastAsia"/>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481"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2</w:t>
            </w:r>
          </w:p>
        </w:tc>
        <w:tc>
          <w:tcPr>
            <w:tcW w:w="2088" w:type="dxa"/>
            <w:vAlign w:val="center"/>
          </w:tcPr>
          <w:p>
            <w:pPr>
              <w:keepNext w:val="0"/>
              <w:keepLines w:val="0"/>
              <w:suppressLineNumbers w:val="0"/>
              <w:spacing w:before="0" w:beforeAutospacing="0" w:after="0" w:afterAutospacing="0" w:line="288" w:lineRule="auto"/>
              <w:ind w:left="0" w:right="0"/>
              <w:rPr>
                <w:rFonts w:hint="default"/>
                <w:bCs/>
                <w:sz w:val="28"/>
                <w:szCs w:val="28"/>
                <w:lang w:val="en-US" w:eastAsia="zh-CN"/>
              </w:rPr>
            </w:pPr>
            <w:r>
              <w:rPr>
                <w:rFonts w:hint="eastAsia"/>
                <w:bCs/>
                <w:sz w:val="28"/>
                <w:szCs w:val="28"/>
                <w:lang w:val="en-US" w:eastAsia="zh-CN"/>
              </w:rPr>
              <w:t>完成核心模块的开发与联调测试</w:t>
            </w:r>
          </w:p>
          <w:p>
            <w:pPr>
              <w:keepNext w:val="0"/>
              <w:keepLines w:val="0"/>
              <w:suppressLineNumbers w:val="0"/>
              <w:spacing w:before="0" w:beforeAutospacing="0" w:after="0" w:afterAutospacing="0" w:line="288" w:lineRule="auto"/>
              <w:ind w:left="0" w:right="0"/>
              <w:rPr>
                <w:rFonts w:hint="default" w:eastAsia="宋体"/>
                <w:bCs/>
                <w:sz w:val="28"/>
                <w:szCs w:val="28"/>
                <w:lang w:val="en-US" w:eastAsia="zh-CN"/>
              </w:rPr>
            </w:pPr>
          </w:p>
        </w:tc>
        <w:tc>
          <w:tcPr>
            <w:tcW w:w="3606"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各模块核心功能代码编写与合并</w:t>
            </w:r>
          </w:p>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系统集成与联调测试报告</w:t>
            </w:r>
          </w:p>
          <w:p>
            <w:pPr>
              <w:keepNext w:val="0"/>
              <w:keepLines w:val="0"/>
              <w:suppressLineNumbers w:val="0"/>
              <w:spacing w:before="0" w:beforeAutospacing="0" w:after="0" w:afterAutospacing="0" w:line="288" w:lineRule="auto"/>
              <w:ind w:left="0" w:right="0"/>
              <w:rPr>
                <w:rFonts w:hint="eastAsia"/>
                <w:bCs/>
                <w:sz w:val="28"/>
                <w:szCs w:val="28"/>
              </w:rPr>
            </w:pPr>
          </w:p>
        </w:tc>
        <w:tc>
          <w:tcPr>
            <w:tcW w:w="1092"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会议评审</w:t>
            </w:r>
          </w:p>
        </w:tc>
        <w:tc>
          <w:tcPr>
            <w:tcW w:w="1255" w:type="dxa"/>
            <w:vAlign w:val="center"/>
          </w:tcPr>
          <w:p>
            <w:pPr>
              <w:keepNext w:val="0"/>
              <w:keepLines w:val="0"/>
              <w:suppressLineNumbers w:val="0"/>
              <w:spacing w:before="0" w:beforeAutospacing="0" w:after="0" w:afterAutospacing="0" w:line="288" w:lineRule="auto"/>
              <w:ind w:left="0" w:right="0"/>
              <w:rPr>
                <w:rFonts w:hint="eastAsia"/>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3</w:t>
            </w:r>
          </w:p>
        </w:tc>
        <w:tc>
          <w:tcPr>
            <w:tcW w:w="2088"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完成系统级性能测试（满足端到端时延&lt;1s等要求），完成全流程联调，具备最终验收条件。</w:t>
            </w:r>
          </w:p>
        </w:tc>
        <w:tc>
          <w:tcPr>
            <w:tcW w:w="3606"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技术总结报告与工作总结报告</w:t>
            </w:r>
          </w:p>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验收测试大纲与验收测试报告</w:t>
            </w:r>
          </w:p>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用户使用说明及开发维护手册</w:t>
            </w:r>
          </w:p>
          <w:p>
            <w:pPr>
              <w:keepNext w:val="0"/>
              <w:keepLines w:val="0"/>
              <w:suppressLineNumbers w:val="0"/>
              <w:spacing w:before="0" w:beforeAutospacing="0" w:after="0" w:afterAutospacing="0" w:line="288" w:lineRule="auto"/>
              <w:ind w:left="0" w:right="0"/>
              <w:rPr>
                <w:rFonts w:hint="eastAsia"/>
                <w:bCs/>
                <w:sz w:val="28"/>
                <w:szCs w:val="28"/>
              </w:rPr>
            </w:pPr>
          </w:p>
        </w:tc>
        <w:tc>
          <w:tcPr>
            <w:tcW w:w="1092" w:type="dxa"/>
            <w:vAlign w:val="center"/>
          </w:tcPr>
          <w:p>
            <w:pPr>
              <w:keepNext w:val="0"/>
              <w:keepLines w:val="0"/>
              <w:suppressLineNumbers w:val="0"/>
              <w:spacing w:before="0" w:beforeAutospacing="0" w:after="0" w:afterAutospacing="0" w:line="288" w:lineRule="auto"/>
              <w:ind w:left="0" w:right="0"/>
              <w:rPr>
                <w:rFonts w:hint="eastAsia"/>
                <w:bCs/>
                <w:sz w:val="28"/>
                <w:szCs w:val="28"/>
              </w:rPr>
            </w:pPr>
            <w:r>
              <w:rPr>
                <w:rFonts w:hint="eastAsia"/>
                <w:bCs/>
                <w:sz w:val="28"/>
                <w:szCs w:val="28"/>
              </w:rPr>
              <w:t>会议评审</w:t>
            </w:r>
          </w:p>
        </w:tc>
        <w:tc>
          <w:tcPr>
            <w:tcW w:w="1255" w:type="dxa"/>
            <w:vAlign w:val="center"/>
          </w:tcPr>
          <w:p>
            <w:pPr>
              <w:keepNext w:val="0"/>
              <w:keepLines w:val="0"/>
              <w:suppressLineNumbers w:val="0"/>
              <w:spacing w:before="0" w:beforeAutospacing="0" w:after="0" w:afterAutospacing="0" w:line="288" w:lineRule="auto"/>
              <w:ind w:left="0" w:right="0"/>
              <w:rPr>
                <w:rFonts w:hint="eastAsia"/>
                <w:bCs/>
                <w:sz w:val="28"/>
                <w:szCs w:val="28"/>
              </w:rPr>
            </w:pPr>
          </w:p>
        </w:tc>
      </w:tr>
    </w:tbl>
    <w:p>
      <w:pPr>
        <w:spacing w:line="300" w:lineRule="auto"/>
        <w:ind w:firstLine="420"/>
        <w:rPr>
          <w:bCs/>
          <w:sz w:val="28"/>
          <w:szCs w:val="28"/>
        </w:rPr>
      </w:pPr>
      <w:r>
        <w:rPr>
          <w:rFonts w:hint="eastAsia" w:ascii="宋体" w:hAnsi="宋体"/>
          <w:sz w:val="28"/>
          <w:szCs w:val="28"/>
        </w:rPr>
        <w:t>最终交付的介质为普通光盘，其中包括文档、</w:t>
      </w:r>
      <w:r>
        <w:rPr>
          <w:rFonts w:ascii="宋体" w:hAnsi="宋体"/>
          <w:sz w:val="28"/>
          <w:szCs w:val="28"/>
        </w:rPr>
        <w:t>含源代码清单以及版本说明以及安装程序、应用环境所使用的驱动程序等</w:t>
      </w:r>
      <w:r>
        <w:rPr>
          <w:rFonts w:hint="eastAsia" w:ascii="宋体" w:hAnsi="宋体"/>
          <w:sz w:val="28"/>
          <w:szCs w:val="28"/>
        </w:rPr>
        <w:t>。</w:t>
      </w:r>
    </w:p>
    <w:p>
      <w:pPr>
        <w:spacing w:line="288" w:lineRule="auto"/>
        <w:rPr>
          <w:b/>
          <w:bCs/>
          <w:sz w:val="28"/>
          <w:szCs w:val="28"/>
        </w:rPr>
      </w:pPr>
    </w:p>
    <w:p>
      <w:pPr>
        <w:spacing w:line="288" w:lineRule="auto"/>
        <w:rPr>
          <w:sz w:val="28"/>
          <w:szCs w:val="28"/>
        </w:rPr>
      </w:pPr>
    </w:p>
    <w:p>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EF524CE-D1EA-4F3D-81D8-0EF3AC09EB3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C8C494"/>
    <w:multiLevelType w:val="singleLevel"/>
    <w:tmpl w:val="9CC8C494"/>
    <w:lvl w:ilvl="0" w:tentative="0">
      <w:start w:val="1"/>
      <w:numFmt w:val="lowerLetter"/>
      <w:lvlText w:val="%1)"/>
      <w:lvlJc w:val="left"/>
      <w:pPr>
        <w:tabs>
          <w:tab w:val="left" w:pos="312"/>
        </w:tabs>
      </w:pPr>
      <w:rPr>
        <w:rFonts w:hint="default"/>
        <w:color w:val="auto"/>
      </w:rPr>
    </w:lvl>
  </w:abstractNum>
  <w:abstractNum w:abstractNumId="1">
    <w:nsid w:val="BC180C28"/>
    <w:multiLevelType w:val="singleLevel"/>
    <w:tmpl w:val="BC180C28"/>
    <w:lvl w:ilvl="0" w:tentative="0">
      <w:start w:val="1"/>
      <w:numFmt w:val="decimal"/>
      <w:pStyle w:val="17"/>
      <w:suff w:val="nothing"/>
      <w:lvlText w:val="图%1. "/>
      <w:lvlJc w:val="left"/>
      <w:pPr>
        <w:tabs>
          <w:tab w:val="left" w:pos="0"/>
        </w:tabs>
        <w:ind w:left="0" w:firstLine="0"/>
      </w:pPr>
      <w:rPr>
        <w:rFonts w:hint="default"/>
      </w:rPr>
    </w:lvl>
  </w:abstractNum>
  <w:abstractNum w:abstractNumId="2">
    <w:nsid w:val="E50CEFBF"/>
    <w:multiLevelType w:val="multilevel"/>
    <w:tmpl w:val="E50CEFB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EDEA866B"/>
    <w:multiLevelType w:val="singleLevel"/>
    <w:tmpl w:val="EDEA866B"/>
    <w:lvl w:ilvl="0" w:tentative="0">
      <w:start w:val="1"/>
      <w:numFmt w:val="lowerLetter"/>
      <w:suff w:val="space"/>
      <w:lvlText w:val="%1)"/>
      <w:lvlJc w:val="left"/>
    </w:lvl>
  </w:abstractNum>
  <w:abstractNum w:abstractNumId="4">
    <w:nsid w:val="F4EDE0DE"/>
    <w:multiLevelType w:val="singleLevel"/>
    <w:tmpl w:val="F4EDE0DE"/>
    <w:lvl w:ilvl="0" w:tentative="0">
      <w:start w:val="1"/>
      <w:numFmt w:val="lowerLetter"/>
      <w:lvlText w:val="%1)"/>
      <w:lvlJc w:val="left"/>
      <w:pPr>
        <w:tabs>
          <w:tab w:val="left" w:pos="312"/>
        </w:tabs>
      </w:pPr>
    </w:lvl>
  </w:abstractNum>
  <w:abstractNum w:abstractNumId="5">
    <w:nsid w:val="00B8B07E"/>
    <w:multiLevelType w:val="singleLevel"/>
    <w:tmpl w:val="00B8B07E"/>
    <w:lvl w:ilvl="0" w:tentative="0">
      <w:start w:val="1"/>
      <w:numFmt w:val="lowerLetter"/>
      <w:suff w:val="space"/>
      <w:lvlText w:val="%1)"/>
      <w:lvlJc w:val="left"/>
    </w:lvl>
  </w:abstractNum>
  <w:abstractNum w:abstractNumId="6">
    <w:nsid w:val="32D22599"/>
    <w:multiLevelType w:val="multilevel"/>
    <w:tmpl w:val="32D22599"/>
    <w:lvl w:ilvl="0" w:tentative="0">
      <w:start w:val="1"/>
      <w:numFmt w:val="lowerLetter"/>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7">
    <w:nsid w:val="5AE25393"/>
    <w:multiLevelType w:val="multilevel"/>
    <w:tmpl w:val="5AE25393"/>
    <w:lvl w:ilvl="0" w:tentative="0">
      <w:start w:val="1"/>
      <w:numFmt w:val="lowerLetter"/>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7"/>
  </w:num>
  <w:num w:numId="4">
    <w:abstractNumId w:val="0"/>
  </w:num>
  <w:num w:numId="5">
    <w:abstractNumId w:val="6"/>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lNmZlNGY2NjBlYTIzNDZkZDE5NTZkN2RjZmM3M2YifQ=="/>
  </w:docVars>
  <w:rsids>
    <w:rsidRoot w:val="58D875ED"/>
    <w:rsid w:val="003819E1"/>
    <w:rsid w:val="004872A7"/>
    <w:rsid w:val="005647F2"/>
    <w:rsid w:val="00B64843"/>
    <w:rsid w:val="00E560A9"/>
    <w:rsid w:val="010D36EB"/>
    <w:rsid w:val="032D2012"/>
    <w:rsid w:val="041D73B3"/>
    <w:rsid w:val="0431507F"/>
    <w:rsid w:val="043952A4"/>
    <w:rsid w:val="053360B8"/>
    <w:rsid w:val="05EC7590"/>
    <w:rsid w:val="06700CFE"/>
    <w:rsid w:val="07B45044"/>
    <w:rsid w:val="08FA48F0"/>
    <w:rsid w:val="0CD077D6"/>
    <w:rsid w:val="0CE340E1"/>
    <w:rsid w:val="0F590F88"/>
    <w:rsid w:val="0FFF5EE2"/>
    <w:rsid w:val="10423415"/>
    <w:rsid w:val="108C14F7"/>
    <w:rsid w:val="14350183"/>
    <w:rsid w:val="174330D0"/>
    <w:rsid w:val="1749439B"/>
    <w:rsid w:val="1794446D"/>
    <w:rsid w:val="188B0260"/>
    <w:rsid w:val="1B0004E7"/>
    <w:rsid w:val="1C112A1C"/>
    <w:rsid w:val="1D594B49"/>
    <w:rsid w:val="1DD3037F"/>
    <w:rsid w:val="1E0267BF"/>
    <w:rsid w:val="1E0C0B95"/>
    <w:rsid w:val="201F2242"/>
    <w:rsid w:val="226F5BEB"/>
    <w:rsid w:val="22B33C6D"/>
    <w:rsid w:val="23EE162D"/>
    <w:rsid w:val="2409256C"/>
    <w:rsid w:val="24CF31BB"/>
    <w:rsid w:val="254523FA"/>
    <w:rsid w:val="26542D2D"/>
    <w:rsid w:val="291F7784"/>
    <w:rsid w:val="2B942D1F"/>
    <w:rsid w:val="2FD17363"/>
    <w:rsid w:val="30F32296"/>
    <w:rsid w:val="31154FBA"/>
    <w:rsid w:val="34F140C4"/>
    <w:rsid w:val="354537A6"/>
    <w:rsid w:val="35EE4E4D"/>
    <w:rsid w:val="38BC4DD5"/>
    <w:rsid w:val="3BDC16AF"/>
    <w:rsid w:val="3C712836"/>
    <w:rsid w:val="445E5860"/>
    <w:rsid w:val="450E4C17"/>
    <w:rsid w:val="45156F1B"/>
    <w:rsid w:val="45A2050C"/>
    <w:rsid w:val="467B6766"/>
    <w:rsid w:val="49E67C76"/>
    <w:rsid w:val="4A757FD0"/>
    <w:rsid w:val="4AB01E3E"/>
    <w:rsid w:val="4AC33B83"/>
    <w:rsid w:val="4EAB7E41"/>
    <w:rsid w:val="519F35CD"/>
    <w:rsid w:val="525B20EC"/>
    <w:rsid w:val="53B80F81"/>
    <w:rsid w:val="541F4FCC"/>
    <w:rsid w:val="54A85071"/>
    <w:rsid w:val="552910C4"/>
    <w:rsid w:val="556335CA"/>
    <w:rsid w:val="556439D0"/>
    <w:rsid w:val="57EF268E"/>
    <w:rsid w:val="58021A23"/>
    <w:rsid w:val="58845D45"/>
    <w:rsid w:val="58D875ED"/>
    <w:rsid w:val="59143DC5"/>
    <w:rsid w:val="5B27C341"/>
    <w:rsid w:val="5C0C0CAC"/>
    <w:rsid w:val="5CF875C3"/>
    <w:rsid w:val="5D886781"/>
    <w:rsid w:val="5E322179"/>
    <w:rsid w:val="5FFF71B0"/>
    <w:rsid w:val="62FE6F58"/>
    <w:rsid w:val="644D3B59"/>
    <w:rsid w:val="647F0B32"/>
    <w:rsid w:val="66552780"/>
    <w:rsid w:val="6750395C"/>
    <w:rsid w:val="675F497B"/>
    <w:rsid w:val="679453E2"/>
    <w:rsid w:val="688C0E4F"/>
    <w:rsid w:val="693D2C1A"/>
    <w:rsid w:val="6A4509B4"/>
    <w:rsid w:val="6B371AA7"/>
    <w:rsid w:val="6B5A3D3B"/>
    <w:rsid w:val="6BB21FE2"/>
    <w:rsid w:val="6BDF3BC1"/>
    <w:rsid w:val="6C420E73"/>
    <w:rsid w:val="6CCC4EA0"/>
    <w:rsid w:val="6ED635ED"/>
    <w:rsid w:val="71876217"/>
    <w:rsid w:val="73FD566C"/>
    <w:rsid w:val="74672774"/>
    <w:rsid w:val="74822495"/>
    <w:rsid w:val="74B20EC8"/>
    <w:rsid w:val="75237E0E"/>
    <w:rsid w:val="77FE3D7E"/>
    <w:rsid w:val="79F24743"/>
    <w:rsid w:val="7BDD3EA2"/>
    <w:rsid w:val="7F7F0DA7"/>
    <w:rsid w:val="7FFD3B2E"/>
    <w:rsid w:val="BA9D2DDB"/>
    <w:rsid w:val="DFB50F64"/>
    <w:rsid w:val="DFFF7D5D"/>
    <w:rsid w:val="F329D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8"/>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autoRedefine/>
    <w:semiHidden/>
    <w:unhideWhenUsed/>
    <w:qFormat/>
    <w:uiPriority w:val="1"/>
  </w:style>
  <w:style w:type="table" w:default="1" w:styleId="11">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4"/>
    </w:rPr>
    <w:tblPr>
      <w:tblCellMar>
        <w:top w:w="0" w:type="dxa"/>
        <w:left w:w="108" w:type="dxa"/>
        <w:bottom w:w="0" w:type="dxa"/>
        <w:right w:w="108" w:type="dxa"/>
      </w:tblCellMar>
    </w:tblPr>
  </w:style>
  <w:style w:type="paragraph" w:styleId="5">
    <w:name w:val="caption"/>
    <w:basedOn w:val="1"/>
    <w:next w:val="1"/>
    <w:autoRedefine/>
    <w:qFormat/>
    <w:uiPriority w:val="35"/>
    <w:pPr>
      <w:jc w:val="center"/>
    </w:pPr>
    <w:rPr>
      <w:rFonts w:eastAsia="黑体"/>
      <w:sz w:val="24"/>
      <w:szCs w:val="20"/>
    </w:rPr>
  </w:style>
  <w:style w:type="paragraph" w:styleId="6">
    <w:name w:val="Body Text Indent"/>
    <w:basedOn w:val="1"/>
    <w:autoRedefine/>
    <w:semiHidden/>
    <w:qFormat/>
    <w:uiPriority w:val="0"/>
    <w:pPr>
      <w:adjustRightInd w:val="0"/>
      <w:snapToGrid w:val="0"/>
      <w:ind w:firstLine="560" w:firstLineChars="200"/>
    </w:pPr>
    <w:rPr>
      <w:rFonts w:ascii="宋体" w:hAnsi="宋体"/>
    </w:rPr>
  </w:style>
  <w:style w:type="paragraph" w:styleId="7">
    <w:name w:val="Plain Text"/>
    <w:basedOn w:val="1"/>
    <w:autoRedefine/>
    <w:qFormat/>
    <w:uiPriority w:val="0"/>
    <w:pPr>
      <w:spacing w:beforeLines="50" w:afterLines="50" w:line="400" w:lineRule="atLeast"/>
    </w:pPr>
    <w:rPr>
      <w:rFonts w:ascii="宋体" w:hAnsi="Courier New"/>
      <w:sz w:val="24"/>
    </w:rPr>
  </w:style>
  <w:style w:type="paragraph" w:styleId="8">
    <w:name w:val="footer"/>
    <w:basedOn w:val="1"/>
    <w:autoRedefine/>
    <w:qFormat/>
    <w:uiPriority w:val="0"/>
    <w:pPr>
      <w:tabs>
        <w:tab w:val="center" w:pos="4153"/>
        <w:tab w:val="right" w:pos="8306"/>
      </w:tabs>
      <w:snapToGrid w:val="0"/>
      <w:spacing w:line="240" w:lineRule="atLeast"/>
      <w:jc w:val="left"/>
    </w:pPr>
    <w:rPr>
      <w:szCs w:val="18"/>
    </w:rPr>
  </w:style>
  <w:style w:type="paragraph" w:styleId="9">
    <w:name w:val="Normal (Web)"/>
    <w:basedOn w:val="1"/>
    <w:autoRedefine/>
    <w:qFormat/>
    <w:uiPriority w:val="0"/>
    <w:pPr>
      <w:spacing w:beforeAutospacing="1" w:afterAutospacing="1"/>
      <w:jc w:val="left"/>
    </w:pPr>
    <w:rPr>
      <w:kern w:val="0"/>
      <w:sz w:val="24"/>
    </w:rPr>
  </w:style>
  <w:style w:type="paragraph" w:styleId="10">
    <w:name w:val="Body Text First Indent 2"/>
    <w:basedOn w:val="6"/>
    <w:autoRedefine/>
    <w:qFormat/>
    <w:uiPriority w:val="0"/>
  </w:style>
  <w:style w:type="character" w:styleId="13">
    <w:name w:val="Strong"/>
    <w:basedOn w:val="12"/>
    <w:qFormat/>
    <w:uiPriority w:val="0"/>
    <w:rPr>
      <w:b/>
    </w:rPr>
  </w:style>
  <w:style w:type="character" w:styleId="14">
    <w:name w:val="Hyperlink"/>
    <w:basedOn w:val="12"/>
    <w:autoRedefine/>
    <w:qFormat/>
    <w:uiPriority w:val="0"/>
    <w:rPr>
      <w:color w:val="0000FF"/>
      <w:u w:val="single"/>
    </w:rPr>
  </w:style>
  <w:style w:type="paragraph" w:styleId="15">
    <w:name w:val="List Paragraph"/>
    <w:basedOn w:val="1"/>
    <w:autoRedefine/>
    <w:qFormat/>
    <w:uiPriority w:val="34"/>
    <w:pPr>
      <w:ind w:firstLine="420" w:firstLineChars="200"/>
    </w:pPr>
  </w:style>
  <w:style w:type="paragraph" w:customStyle="1" w:styleId="16">
    <w:name w:val="图表"/>
    <w:basedOn w:val="1"/>
    <w:autoRedefine/>
    <w:qFormat/>
    <w:uiPriority w:val="0"/>
    <w:pPr>
      <w:jc w:val="center"/>
    </w:pPr>
    <w:rPr>
      <w:rFonts w:asciiTheme="minorHAnsi" w:hAnsiTheme="minorHAnsi" w:cstheme="minorBidi"/>
      <w:sz w:val="24"/>
      <w:lang w:eastAsia="zh"/>
    </w:rPr>
  </w:style>
  <w:style w:type="paragraph" w:customStyle="1" w:styleId="17">
    <w:name w:val="图片编号"/>
    <w:basedOn w:val="1"/>
    <w:autoRedefine/>
    <w:qFormat/>
    <w:uiPriority w:val="0"/>
    <w:pPr>
      <w:keepNext/>
      <w:numPr>
        <w:ilvl w:val="0"/>
        <w:numId w:val="1"/>
      </w:numPr>
      <w:spacing w:line="300" w:lineRule="auto"/>
      <w:jc w:val="center"/>
    </w:pPr>
    <w:rPr>
      <w:b/>
      <w:sz w:val="24"/>
      <w:szCs w:val="21"/>
    </w:rPr>
  </w:style>
  <w:style w:type="paragraph" w:customStyle="1" w:styleId="18">
    <w:name w:val="表格-题头"/>
    <w:basedOn w:val="1"/>
    <w:autoRedefine/>
    <w:qFormat/>
    <w:uiPriority w:val="0"/>
    <w:pPr>
      <w:spacing w:line="300" w:lineRule="auto"/>
      <w:jc w:val="center"/>
    </w:pPr>
    <w:rPr>
      <w:rFonts w:ascii="宋体" w:hAnsi="宋体" w:cs="宋体"/>
      <w:b/>
      <w:bCs/>
      <w:szCs w:val="20"/>
    </w:rPr>
  </w:style>
  <w:style w:type="paragraph" w:customStyle="1" w:styleId="19">
    <w:name w:val="表格内文字-不加粗"/>
    <w:basedOn w:val="1"/>
    <w:autoRedefine/>
    <w:qFormat/>
    <w:uiPriority w:val="0"/>
    <w:pPr>
      <w:wordWrap w:val="0"/>
      <w:adjustRightInd w:val="0"/>
      <w:snapToGrid w:val="0"/>
      <w:spacing w:line="300" w:lineRule="auto"/>
    </w:pPr>
    <w:rPr>
      <w:rFonts w:ascii="Times New Roman" w:hAnsi="Times New Roman" w:cs="宋体"/>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2032</Words>
  <Characters>2143</Characters>
  <Lines>24</Lines>
  <Paragraphs>6</Paragraphs>
  <TotalTime>5</TotalTime>
  <ScaleCrop>false</ScaleCrop>
  <LinksUpToDate>false</LinksUpToDate>
  <CharactersWithSpaces>2188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2025-06-23T17:37:00Z</dcterms:created>
  <dc:creator>杨波威</dc:creator>
  <cp:lastModifiedBy>Tonight ∝ 鄢 -</cp:lastModifiedBy>
  <dcterms:modified xsi:type="dcterms:W3CDTF">2026-04-15T00:50:51Z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F74F0B241407411CAAD91560F541BC4E_13</vt:lpwstr>
  </property>
  <property fmtid="{D5CDD505-2E9C-101B-9397-08002B2CF9AE}" pid="4" name="KSOTemplateDocerSaveRecord">
    <vt:lpwstr>eyJoZGlkIjoiMGFhMGNhYThkNGRjYTNhZTZkMjJlYzE1MTM0ZTBjODQiLCJ1c2VySWQiOiIxNzI2MjA2MTkyIn0=</vt:lpwstr>
  </property>
</Properties>
</file>