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黑体" w:hAnsi="黑体" w:eastAsia="黑体" w:cs="黑体"/>
          <w:sz w:val="44"/>
          <w:szCs w:val="44"/>
        </w:rPr>
      </w:pPr>
    </w:p>
    <w:p>
      <w:pPr>
        <w:spacing w:line="360" w:lineRule="auto"/>
        <w:jc w:val="center"/>
        <w:rPr>
          <w:rFonts w:hint="eastAsia" w:ascii="黑体" w:hAnsi="黑体" w:eastAsia="黑体" w:cs="黑体"/>
          <w:sz w:val="44"/>
          <w:szCs w:val="44"/>
        </w:rPr>
      </w:pPr>
    </w:p>
    <w:p>
      <w:pPr>
        <w:spacing w:line="360" w:lineRule="auto"/>
        <w:jc w:val="center"/>
        <w:outlineLvl w:val="0"/>
        <w:rPr>
          <w:rFonts w:hint="eastAsia" w:ascii="黑体" w:hAnsi="黑体" w:eastAsia="黑体" w:cs="黑体"/>
          <w:sz w:val="44"/>
          <w:szCs w:val="44"/>
        </w:rPr>
      </w:pPr>
      <w:bookmarkStart w:id="0" w:name="_Toc20598"/>
      <w:bookmarkStart w:id="1" w:name="_Toc22998"/>
      <w:bookmarkStart w:id="2" w:name="_Toc25093"/>
      <w:bookmarkStart w:id="3" w:name="_Toc30515"/>
      <w:bookmarkStart w:id="4" w:name="_Toc7932"/>
      <w:bookmarkStart w:id="5" w:name="_Toc23117"/>
      <w:bookmarkStart w:id="6" w:name="_Toc2004"/>
      <w:bookmarkStart w:id="7" w:name="_Toc25852"/>
      <w:bookmarkStart w:id="8" w:name="_Toc24052"/>
      <w:r>
        <w:rPr>
          <w:rFonts w:hint="eastAsia" w:ascii="黑体" w:hAnsi="黑体" w:eastAsia="黑体" w:cs="黑体"/>
          <w:sz w:val="44"/>
          <w:szCs w:val="44"/>
        </w:rPr>
        <w:t>大数据可视化课程期末考查报告</w:t>
      </w:r>
      <w:bookmarkEnd w:id="0"/>
      <w:bookmarkEnd w:id="1"/>
      <w:bookmarkEnd w:id="2"/>
      <w:bookmarkEnd w:id="3"/>
      <w:bookmarkEnd w:id="4"/>
      <w:bookmarkEnd w:id="5"/>
      <w:bookmarkEnd w:id="6"/>
      <w:bookmarkEnd w:id="7"/>
      <w:bookmarkEnd w:id="8"/>
    </w:p>
    <w:p>
      <w:pPr>
        <w:spacing w:line="360" w:lineRule="auto"/>
        <w:jc w:val="center"/>
        <w:rPr>
          <w:rFonts w:hint="eastAsia" w:ascii="黑体" w:hAnsi="黑体" w:eastAsia="黑体" w:cs="黑体"/>
          <w:sz w:val="44"/>
          <w:szCs w:val="44"/>
        </w:rPr>
      </w:pPr>
    </w:p>
    <w:p>
      <w:pPr>
        <w:spacing w:line="360" w:lineRule="auto"/>
        <w:jc w:val="center"/>
        <w:rPr>
          <w:rFonts w:hint="eastAsia" w:ascii="黑体" w:hAnsi="黑体" w:eastAsia="黑体" w:cs="黑体"/>
          <w:sz w:val="44"/>
          <w:szCs w:val="44"/>
        </w:rPr>
      </w:pPr>
    </w:p>
    <w:p>
      <w:pPr>
        <w:spacing w:line="360" w:lineRule="auto"/>
        <w:jc w:val="center"/>
        <w:rPr>
          <w:rFonts w:hint="eastAsia" w:ascii="黑体" w:hAnsi="黑体" w:eastAsia="黑体" w:cs="黑体"/>
          <w:sz w:val="44"/>
          <w:szCs w:val="44"/>
        </w:rPr>
      </w:pPr>
    </w:p>
    <w:p>
      <w:pPr>
        <w:spacing w:line="360" w:lineRule="auto"/>
        <w:jc w:val="center"/>
        <w:rPr>
          <w:rFonts w:hint="eastAsia" w:ascii="黑体" w:hAnsi="黑体" w:eastAsia="黑体" w:cs="黑体"/>
          <w:sz w:val="44"/>
          <w:szCs w:val="44"/>
        </w:rPr>
      </w:pPr>
    </w:p>
    <w:p>
      <w:pPr>
        <w:spacing w:line="360" w:lineRule="auto"/>
        <w:jc w:val="center"/>
        <w:rPr>
          <w:rFonts w:hint="eastAsia" w:ascii="黑体" w:hAnsi="黑体" w:eastAsia="黑体" w:cs="黑体"/>
          <w:sz w:val="44"/>
          <w:szCs w:val="44"/>
        </w:rPr>
      </w:pPr>
    </w:p>
    <w:p>
      <w:pPr>
        <w:pStyle w:val="17"/>
        <w:ind w:left="2352"/>
        <w:jc w:val="both"/>
        <w:rPr>
          <w:rStyle w:val="18"/>
          <w:rFonts w:hint="default" w:ascii="宋体" w:hAnsi="宋体" w:eastAsia="宋体" w:cs="宋体"/>
          <w:sz w:val="32"/>
          <w:szCs w:val="32"/>
          <w:lang w:val="en-US"/>
        </w:rPr>
      </w:pPr>
      <w:r>
        <w:rPr>
          <w:rStyle w:val="18"/>
          <w:rFonts w:hint="eastAsia" w:ascii="宋体" w:hAnsi="宋体" w:eastAsia="宋体" w:cs="宋体"/>
          <w:sz w:val="32"/>
          <w:szCs w:val="32"/>
          <w:lang w:val="en-US" w:eastAsia="zh-CN"/>
        </w:rPr>
        <w:t>姓名</w:t>
      </w:r>
      <w:r>
        <w:rPr>
          <w:rStyle w:val="18"/>
          <w:rFonts w:hint="eastAsia" w:ascii="宋体" w:hAnsi="宋体" w:eastAsia="宋体" w:cs="宋体"/>
          <w:sz w:val="32"/>
          <w:szCs w:val="32"/>
        </w:rPr>
        <w:t>：</w:t>
      </w:r>
      <w:r>
        <w:rPr>
          <w:rStyle w:val="18"/>
          <w:rFonts w:hint="eastAsia" w:ascii="宋体" w:hAnsi="宋体" w:eastAsia="宋体" w:cs="宋体"/>
          <w:sz w:val="32"/>
          <w:szCs w:val="32"/>
        </w:rPr>
        <w:tab/>
      </w:r>
      <w:r>
        <w:rPr>
          <w:rStyle w:val="18"/>
          <w:rFonts w:hint="eastAsia" w:ascii="宋体" w:hAnsi="宋体" w:eastAsia="宋体" w:cs="宋体"/>
          <w:sz w:val="32"/>
          <w:szCs w:val="32"/>
        </w:rPr>
        <w:t xml:space="preserve">     </w:t>
      </w:r>
      <w:r>
        <w:rPr>
          <w:rStyle w:val="18"/>
          <w:rFonts w:hint="eastAsia" w:ascii="宋体" w:hAnsi="宋体" w:eastAsia="宋体" w:cs="宋体"/>
          <w:sz w:val="32"/>
          <w:szCs w:val="32"/>
          <w:lang w:val="en-US" w:eastAsia="zh-CN"/>
        </w:rPr>
        <w:t xml:space="preserve">李琦帆     </w:t>
      </w:r>
    </w:p>
    <w:p>
      <w:pPr>
        <w:pStyle w:val="17"/>
        <w:ind w:left="2352"/>
        <w:jc w:val="both"/>
        <w:rPr>
          <w:rStyle w:val="18"/>
          <w:rFonts w:hint="default" w:ascii="宋体" w:hAnsi="宋体" w:eastAsia="宋体" w:cs="宋体"/>
          <w:sz w:val="32"/>
          <w:szCs w:val="32"/>
          <w:lang w:val="en-US"/>
        </w:rPr>
      </w:pPr>
      <w:r>
        <w:rPr>
          <w:rStyle w:val="18"/>
          <w:rFonts w:hint="eastAsia" w:ascii="宋体" w:hAnsi="宋体" w:eastAsia="宋体" w:cs="宋体"/>
          <w:sz w:val="32"/>
          <w:szCs w:val="32"/>
          <w:lang w:val="en-US" w:eastAsia="zh-CN"/>
        </w:rPr>
        <w:t>学号</w:t>
      </w:r>
      <w:r>
        <w:rPr>
          <w:rStyle w:val="18"/>
          <w:rFonts w:hint="eastAsia" w:ascii="宋体" w:hAnsi="宋体" w:eastAsia="宋体" w:cs="宋体"/>
          <w:sz w:val="32"/>
          <w:szCs w:val="32"/>
        </w:rPr>
        <w:t>：</w:t>
      </w:r>
      <w:r>
        <w:rPr>
          <w:rStyle w:val="18"/>
          <w:rFonts w:hint="eastAsia" w:ascii="宋体" w:hAnsi="宋体" w:eastAsia="宋体" w:cs="宋体"/>
          <w:sz w:val="32"/>
          <w:szCs w:val="32"/>
        </w:rPr>
        <w:tab/>
      </w:r>
      <w:r>
        <w:rPr>
          <w:rStyle w:val="18"/>
          <w:rFonts w:hint="eastAsia" w:ascii="宋体" w:hAnsi="宋体" w:eastAsia="宋体" w:cs="宋体"/>
          <w:sz w:val="32"/>
          <w:szCs w:val="32"/>
        </w:rPr>
        <w:t xml:space="preserve">    </w:t>
      </w:r>
      <w:r>
        <w:rPr>
          <w:rStyle w:val="18"/>
          <w:rFonts w:hint="eastAsia" w:ascii="宋体" w:hAnsi="宋体" w:eastAsia="宋体" w:cs="宋体"/>
          <w:sz w:val="32"/>
          <w:szCs w:val="32"/>
          <w:lang w:val="en-US" w:eastAsia="zh-CN"/>
        </w:rPr>
        <w:t xml:space="preserve">2315905025  </w:t>
      </w:r>
    </w:p>
    <w:p>
      <w:pPr>
        <w:pStyle w:val="17"/>
        <w:ind w:left="2352"/>
        <w:jc w:val="both"/>
        <w:rPr>
          <w:rFonts w:hint="default" w:ascii="宋体" w:hAnsi="宋体" w:eastAsia="宋体" w:cs="宋体"/>
          <w:sz w:val="32"/>
          <w:szCs w:val="32"/>
          <w:lang w:val="en-US" w:eastAsia="zh-CN"/>
        </w:rPr>
      </w:pPr>
      <w:r>
        <w:rPr>
          <w:rStyle w:val="18"/>
          <w:rFonts w:hint="eastAsia" w:ascii="宋体" w:hAnsi="宋体" w:eastAsia="宋体" w:cs="宋体"/>
          <w:sz w:val="32"/>
          <w:szCs w:val="32"/>
          <w:lang w:val="en-US" w:eastAsia="zh-CN"/>
        </w:rPr>
        <w:t>班级</w:t>
      </w:r>
      <w:r>
        <w:rPr>
          <w:rStyle w:val="18"/>
          <w:rFonts w:hint="eastAsia" w:ascii="宋体" w:hAnsi="宋体" w:eastAsia="宋体" w:cs="宋体"/>
          <w:sz w:val="32"/>
          <w:szCs w:val="32"/>
        </w:rPr>
        <w:t>：</w:t>
      </w:r>
      <w:r>
        <w:rPr>
          <w:rStyle w:val="18"/>
          <w:rFonts w:hint="eastAsia" w:ascii="宋体" w:hAnsi="宋体" w:eastAsia="宋体" w:cs="宋体"/>
          <w:sz w:val="32"/>
          <w:szCs w:val="32"/>
        </w:rPr>
        <w:tab/>
      </w:r>
      <w:r>
        <w:rPr>
          <w:rStyle w:val="18"/>
          <w:rFonts w:hint="eastAsia" w:ascii="宋体" w:hAnsi="宋体" w:eastAsia="宋体" w:cs="宋体"/>
          <w:sz w:val="32"/>
          <w:szCs w:val="32"/>
        </w:rPr>
        <w:t xml:space="preserve">    </w:t>
      </w:r>
      <w:r>
        <w:rPr>
          <w:rStyle w:val="18"/>
          <w:rFonts w:hint="eastAsia" w:ascii="宋体" w:hAnsi="宋体" w:eastAsia="宋体" w:cs="宋体"/>
          <w:sz w:val="32"/>
          <w:szCs w:val="32"/>
          <w:lang w:val="en-US" w:eastAsia="zh-CN"/>
        </w:rPr>
        <w:t xml:space="preserve">23大数据   </w:t>
      </w:r>
    </w:p>
    <w:p>
      <w:pPr>
        <w:pStyle w:val="3"/>
        <w:rPr>
          <w:rFonts w:hint="eastAsia" w:ascii="宋体" w:hAnsi="宋体" w:eastAsia="宋体" w:cs="宋体"/>
          <w:sz w:val="32"/>
          <w:szCs w:val="32"/>
        </w:rPr>
      </w:pPr>
    </w:p>
    <w:p>
      <w:pPr>
        <w:pStyle w:val="3"/>
        <w:rPr>
          <w:rFonts w:hint="eastAsia" w:ascii="宋体" w:hAnsi="宋体" w:eastAsia="宋体" w:cs="宋体"/>
          <w:sz w:val="32"/>
          <w:szCs w:val="32"/>
        </w:rPr>
      </w:pPr>
    </w:p>
    <w:p>
      <w:pPr>
        <w:pStyle w:val="19"/>
        <w:ind w:firstLine="1920" w:firstLineChars="600"/>
        <w:jc w:val="both"/>
        <w:rPr>
          <w:rFonts w:hint="eastAsia" w:ascii="宋体" w:hAnsi="宋体" w:eastAsia="宋体" w:cs="宋体"/>
          <w:sz w:val="32"/>
          <w:szCs w:val="32"/>
          <w:lang w:val="en-US" w:eastAsia="zh-CN"/>
        </w:rPr>
      </w:pPr>
      <w:r>
        <w:rPr>
          <w:rFonts w:hint="eastAsia" w:ascii="宋体" w:hAnsi="宋体" w:eastAsia="宋体" w:cs="宋体"/>
          <w:sz w:val="32"/>
          <w:szCs w:val="32"/>
        </w:rPr>
        <w:t xml:space="preserve">日期  </w:t>
      </w:r>
      <w:r>
        <w:rPr>
          <w:rStyle w:val="20"/>
          <w:rFonts w:hint="eastAsia" w:ascii="宋体" w:hAnsi="宋体" w:eastAsia="宋体" w:cs="宋体"/>
          <w:sz w:val="32"/>
          <w:szCs w:val="32"/>
        </w:rPr>
        <w:t xml:space="preserve">  20</w:t>
      </w:r>
      <w:r>
        <w:rPr>
          <w:rStyle w:val="20"/>
          <w:rFonts w:hint="eastAsia" w:ascii="宋体" w:hAnsi="宋体" w:eastAsia="宋体" w:cs="宋体"/>
          <w:sz w:val="32"/>
          <w:szCs w:val="32"/>
          <w:lang w:val="en-US" w:eastAsia="zh-CN"/>
        </w:rPr>
        <w:t>25</w:t>
      </w:r>
      <w:r>
        <w:rPr>
          <w:rStyle w:val="20"/>
          <w:rFonts w:hint="eastAsia" w:ascii="宋体" w:hAnsi="宋体" w:eastAsia="宋体" w:cs="宋体"/>
          <w:sz w:val="32"/>
          <w:szCs w:val="32"/>
        </w:rPr>
        <w:t xml:space="preserve">  </w:t>
      </w:r>
      <w:r>
        <w:rPr>
          <w:rFonts w:hint="eastAsia" w:ascii="宋体" w:hAnsi="宋体" w:eastAsia="宋体" w:cs="宋体"/>
          <w:sz w:val="32"/>
          <w:szCs w:val="32"/>
        </w:rPr>
        <w:t xml:space="preserve"> 年 </w:t>
      </w:r>
      <w:r>
        <w:rPr>
          <w:rStyle w:val="20"/>
          <w:rFonts w:hint="eastAsia" w:ascii="宋体" w:hAnsi="宋体" w:eastAsia="宋体" w:cs="宋体"/>
          <w:sz w:val="32"/>
          <w:szCs w:val="32"/>
        </w:rPr>
        <w:t xml:space="preserve">  </w:t>
      </w:r>
      <w:r>
        <w:rPr>
          <w:rStyle w:val="20"/>
          <w:rFonts w:hint="eastAsia" w:ascii="宋体" w:hAnsi="宋体" w:eastAsia="宋体" w:cs="宋体"/>
          <w:sz w:val="32"/>
          <w:szCs w:val="32"/>
          <w:lang w:val="en-US" w:eastAsia="zh-CN"/>
        </w:rPr>
        <w:t>11</w:t>
      </w:r>
      <w:r>
        <w:rPr>
          <w:rStyle w:val="20"/>
          <w:rFonts w:hint="eastAsia" w:ascii="宋体" w:hAnsi="宋体" w:eastAsia="宋体" w:cs="宋体"/>
          <w:sz w:val="32"/>
          <w:szCs w:val="32"/>
        </w:rPr>
        <w:t xml:space="preserve">  </w:t>
      </w:r>
      <w:r>
        <w:rPr>
          <w:rFonts w:hint="eastAsia" w:ascii="宋体" w:hAnsi="宋体" w:eastAsia="宋体" w:cs="宋体"/>
          <w:sz w:val="32"/>
          <w:szCs w:val="32"/>
        </w:rPr>
        <w:t>月</w:t>
      </w:r>
      <w:r>
        <w:rPr>
          <w:rStyle w:val="20"/>
          <w:rFonts w:hint="eastAsia" w:ascii="宋体" w:hAnsi="宋体" w:eastAsia="宋体" w:cs="宋体"/>
          <w:sz w:val="32"/>
          <w:szCs w:val="32"/>
        </w:rPr>
        <w:t xml:space="preserve">  </w:t>
      </w:r>
      <w:r>
        <w:rPr>
          <w:rStyle w:val="20"/>
          <w:rFonts w:hint="eastAsia" w:ascii="宋体" w:hAnsi="宋体" w:eastAsia="宋体" w:cs="宋体"/>
          <w:sz w:val="32"/>
          <w:szCs w:val="32"/>
          <w:lang w:val="en-US" w:eastAsia="zh-CN"/>
        </w:rPr>
        <w:t>29</w:t>
      </w:r>
      <w:r>
        <w:rPr>
          <w:rStyle w:val="20"/>
          <w:rFonts w:hint="eastAsia" w:ascii="宋体" w:hAnsi="宋体" w:eastAsia="宋体" w:cs="宋体"/>
          <w:sz w:val="32"/>
          <w:szCs w:val="32"/>
        </w:rPr>
        <w:t xml:space="preserve">  </w:t>
      </w:r>
      <w:r>
        <w:rPr>
          <w:rFonts w:hint="eastAsia" w:ascii="宋体" w:hAnsi="宋体" w:eastAsia="宋体" w:cs="宋体"/>
          <w:sz w:val="32"/>
          <w:szCs w:val="32"/>
          <w:lang w:val="en-US" w:eastAsia="zh-CN"/>
        </w:rPr>
        <w:t>日</w:t>
      </w:r>
    </w:p>
    <w:p>
      <w:pPr>
        <w:pStyle w:val="19"/>
        <w:ind w:firstLine="2240" w:firstLineChars="800"/>
        <w:jc w:val="both"/>
      </w:pPr>
    </w:p>
    <w:p>
      <w:pPr>
        <w:spacing w:line="360" w:lineRule="auto"/>
        <w:rPr>
          <w:rFonts w:hint="eastAsia"/>
        </w:rPr>
      </w:pPr>
    </w:p>
    <w:p>
      <w:pPr>
        <w:spacing w:line="360" w:lineRule="auto"/>
        <w:rPr>
          <w:rFonts w:hint="eastAsia"/>
        </w:rPr>
      </w:pPr>
    </w:p>
    <w:p>
      <w:pPr>
        <w:spacing w:line="360" w:lineRule="auto"/>
        <w:rPr>
          <w:rFonts w:hint="eastAsia"/>
        </w:rPr>
      </w:pPr>
    </w:p>
    <w:p>
      <w:pPr>
        <w:spacing w:line="360" w:lineRule="auto"/>
        <w:rPr>
          <w:rFonts w:hint="eastAsia"/>
        </w:rPr>
      </w:pPr>
    </w:p>
    <w:p/>
    <w:p/>
    <w:p/>
    <w:p/>
    <w:p/>
    <w:p/>
    <w:p/>
    <w:p/>
    <w:p>
      <w:bookmarkStart w:id="199" w:name="_GoBack"/>
      <w:bookmarkEnd w:id="199"/>
    </w:p>
    <w:p>
      <w:pPr>
        <w:pStyle w:val="9"/>
        <w:tabs>
          <w:tab w:val="right" w:leader="dot" w:pos="8306"/>
        </w:tabs>
        <w:rPr>
          <w:rFonts w:hint="default" w:eastAsia="宋体"/>
          <w:lang w:val="en-US" w:eastAsia="zh-CN"/>
        </w:rPr>
      </w:pPr>
      <w:r>
        <w:rPr>
          <w:rFonts w:hint="eastAsia"/>
          <w:lang w:val="en-US" w:eastAsia="zh-CN"/>
        </w:rPr>
        <w:t xml:space="preserve">                                    目录</w:t>
      </w:r>
    </w:p>
    <w:p>
      <w:pPr>
        <w:pStyle w:val="9"/>
        <w:tabs>
          <w:tab w:val="right" w:leader="dot" w:pos="8306"/>
        </w:tabs>
      </w:pPr>
      <w:r>
        <w:fldChar w:fldCharType="begin"/>
      </w:r>
      <w:r>
        <w:instrText xml:space="preserve">TOC \o "1-3" \h \u </w:instrText>
      </w:r>
      <w:r>
        <w:fldChar w:fldCharType="separate"/>
      </w:r>
      <w:r>
        <w:fldChar w:fldCharType="begin"/>
      </w:r>
      <w:r>
        <w:instrText xml:space="preserve"> HYPERLINK \l _Toc28347 </w:instrText>
      </w:r>
      <w:r>
        <w:fldChar w:fldCharType="separate"/>
      </w:r>
      <w:r>
        <w:rPr>
          <w:rFonts w:hint="eastAsia"/>
          <w:bCs/>
          <w:lang w:val="en-US" w:eastAsia="zh-CN"/>
        </w:rPr>
        <w:t>1.数据来源和字段说明</w:t>
      </w:r>
      <w:r>
        <w:tab/>
      </w:r>
      <w:r>
        <w:fldChar w:fldCharType="begin"/>
      </w:r>
      <w:r>
        <w:instrText xml:space="preserve"> PAGEREF _Toc28347 \h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_Toc21811 </w:instrText>
      </w:r>
      <w:r>
        <w:fldChar w:fldCharType="separate"/>
      </w:r>
      <w:r>
        <w:rPr>
          <w:rFonts w:hint="eastAsia" w:ascii="黑体" w:eastAsia="黑体"/>
          <w:lang w:val="en-US" w:eastAsia="zh-CN"/>
        </w:rPr>
        <w:t xml:space="preserve">1.1 </w:t>
      </w:r>
      <w:r>
        <w:rPr>
          <w:rFonts w:hint="eastAsia"/>
          <w:lang w:val="en-US" w:eastAsia="zh-CN"/>
        </w:rPr>
        <w:t>数据来源</w:t>
      </w:r>
      <w:r>
        <w:tab/>
      </w:r>
      <w:r>
        <w:fldChar w:fldCharType="begin"/>
      </w:r>
      <w:r>
        <w:instrText xml:space="preserve"> PAGEREF _Toc21811 \h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_Toc24501 </w:instrText>
      </w:r>
      <w:r>
        <w:fldChar w:fldCharType="separate"/>
      </w:r>
      <w:r>
        <w:rPr>
          <w:rFonts w:hint="eastAsia" w:ascii="黑体" w:hAnsi="黑体" w:eastAsia="黑体" w:cs="黑体"/>
          <w:szCs w:val="28"/>
          <w:lang w:val="en-US" w:eastAsia="zh-CN"/>
        </w:rPr>
        <w:t>1.2  数据字典</w:t>
      </w:r>
      <w:r>
        <w:tab/>
      </w:r>
      <w:r>
        <w:fldChar w:fldCharType="begin"/>
      </w:r>
      <w:r>
        <w:instrText xml:space="preserve"> PAGEREF _Toc24501 \h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_Toc7901 </w:instrText>
      </w:r>
      <w:r>
        <w:fldChar w:fldCharType="separate"/>
      </w:r>
      <w:r>
        <w:rPr>
          <w:rFonts w:hint="eastAsia" w:ascii="黑体" w:hAnsi="黑体" w:eastAsia="黑体" w:cs="黑体"/>
          <w:szCs w:val="28"/>
          <w:lang w:val="en-US" w:eastAsia="zh-CN"/>
        </w:rPr>
        <w:t>1.3  数据清洗</w:t>
      </w:r>
      <w:r>
        <w:tab/>
      </w:r>
      <w:r>
        <w:fldChar w:fldCharType="begin"/>
      </w:r>
      <w:r>
        <w:instrText xml:space="preserve"> PAGEREF _Toc7901 \h </w:instrText>
      </w:r>
      <w:r>
        <w:fldChar w:fldCharType="separate"/>
      </w:r>
      <w:r>
        <w:t>2</w:t>
      </w:r>
      <w:r>
        <w:fldChar w:fldCharType="end"/>
      </w:r>
      <w:r>
        <w:fldChar w:fldCharType="end"/>
      </w:r>
    </w:p>
    <w:p>
      <w:pPr>
        <w:pStyle w:val="9"/>
        <w:tabs>
          <w:tab w:val="right" w:leader="dot" w:pos="8306"/>
        </w:tabs>
      </w:pPr>
      <w:r>
        <w:fldChar w:fldCharType="begin"/>
      </w:r>
      <w:r>
        <w:instrText xml:space="preserve"> HYPERLINK \l _Toc15372 </w:instrText>
      </w:r>
      <w:r>
        <w:fldChar w:fldCharType="separate"/>
      </w:r>
      <w:r>
        <w:rPr>
          <w:rFonts w:hint="eastAsia" w:ascii="黑体" w:hAnsi="黑体" w:eastAsia="黑体" w:cs="黑体"/>
          <w:szCs w:val="28"/>
          <w:lang w:val="en-US" w:eastAsia="zh-CN"/>
        </w:rPr>
        <w:t>2. 相关理论与技术</w:t>
      </w:r>
      <w:r>
        <w:tab/>
      </w:r>
      <w:r>
        <w:fldChar w:fldCharType="begin"/>
      </w:r>
      <w:r>
        <w:instrText xml:space="preserve"> PAGEREF _Toc15372 \h </w:instrText>
      </w:r>
      <w:r>
        <w:fldChar w:fldCharType="separate"/>
      </w:r>
      <w:r>
        <w:t>2</w:t>
      </w:r>
      <w:r>
        <w:fldChar w:fldCharType="end"/>
      </w:r>
      <w:r>
        <w:fldChar w:fldCharType="end"/>
      </w:r>
    </w:p>
    <w:p>
      <w:pPr>
        <w:pStyle w:val="9"/>
        <w:tabs>
          <w:tab w:val="right" w:leader="dot" w:pos="8306"/>
        </w:tabs>
      </w:pPr>
      <w:r>
        <w:fldChar w:fldCharType="begin"/>
      </w:r>
      <w:r>
        <w:instrText xml:space="preserve"> HYPERLINK \l _Toc12411 </w:instrText>
      </w:r>
      <w:r>
        <w:fldChar w:fldCharType="separate"/>
      </w:r>
      <w:r>
        <w:rPr>
          <w:rFonts w:hint="eastAsia"/>
          <w:lang w:val="en-US" w:eastAsia="zh-CN"/>
        </w:rPr>
        <w:t>3. 可视化系统实现与分析结论</w:t>
      </w:r>
      <w:r>
        <w:tab/>
      </w:r>
      <w:r>
        <w:fldChar w:fldCharType="begin"/>
      </w:r>
      <w:r>
        <w:instrText xml:space="preserve"> PAGEREF _Toc12411 \h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_Toc7014 </w:instrText>
      </w:r>
      <w:r>
        <w:fldChar w:fldCharType="separate"/>
      </w:r>
      <w:r>
        <w:rPr>
          <w:rFonts w:hint="eastAsia" w:ascii="黑体" w:hAnsi="黑体" w:eastAsia="黑体" w:cs="黑体"/>
          <w:szCs w:val="28"/>
          <w:lang w:val="en-US" w:eastAsia="zh-CN"/>
        </w:rPr>
        <w:t>3.1商品描述词云图</w:t>
      </w:r>
      <w:r>
        <w:tab/>
      </w:r>
      <w:r>
        <w:fldChar w:fldCharType="begin"/>
      </w:r>
      <w:r>
        <w:instrText xml:space="preserve"> PAGEREF _Toc7014 \h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_Toc15725 </w:instrText>
      </w:r>
      <w:r>
        <w:fldChar w:fldCharType="separate"/>
      </w:r>
      <w:r>
        <w:rPr>
          <w:rFonts w:hint="eastAsia" w:ascii="黑体" w:hAnsi="黑体" w:eastAsia="黑体" w:cs="黑体"/>
          <w:szCs w:val="28"/>
          <w:lang w:val="en-US" w:eastAsia="zh-CN"/>
        </w:rPr>
        <w:t>3.2客户转化漏斗图</w:t>
      </w:r>
      <w:r>
        <w:tab/>
      </w:r>
      <w:r>
        <w:fldChar w:fldCharType="begin"/>
      </w:r>
      <w:r>
        <w:instrText xml:space="preserve"> PAGEREF _Toc15725 \h </w:instrText>
      </w:r>
      <w:r>
        <w:fldChar w:fldCharType="separate"/>
      </w:r>
      <w:r>
        <w:t>3</w:t>
      </w:r>
      <w:r>
        <w:fldChar w:fldCharType="end"/>
      </w:r>
      <w:r>
        <w:fldChar w:fldCharType="end"/>
      </w:r>
    </w:p>
    <w:p>
      <w:pPr>
        <w:pStyle w:val="10"/>
        <w:tabs>
          <w:tab w:val="right" w:leader="dot" w:pos="8306"/>
        </w:tabs>
      </w:pPr>
      <w:r>
        <w:fldChar w:fldCharType="begin"/>
      </w:r>
      <w:r>
        <w:instrText xml:space="preserve"> HYPERLINK \l _Toc15537 </w:instrText>
      </w:r>
      <w:r>
        <w:fldChar w:fldCharType="separate"/>
      </w:r>
      <w:r>
        <w:rPr>
          <w:rFonts w:hint="eastAsia" w:ascii="黑体" w:hAnsi="黑体" w:eastAsia="黑体" w:cs="黑体"/>
          <w:szCs w:val="28"/>
          <w:lang w:val="en-US" w:eastAsia="zh-CN"/>
        </w:rPr>
        <w:t>3.3国家销售气泡图</w:t>
      </w:r>
      <w:r>
        <w:tab/>
      </w:r>
      <w:r>
        <w:fldChar w:fldCharType="begin"/>
      </w:r>
      <w:r>
        <w:instrText xml:space="preserve"> PAGEREF _Toc15537 \h </w:instrText>
      </w:r>
      <w:r>
        <w:fldChar w:fldCharType="separate"/>
      </w:r>
      <w:r>
        <w:t>4</w:t>
      </w:r>
      <w:r>
        <w:fldChar w:fldCharType="end"/>
      </w:r>
      <w:r>
        <w:fldChar w:fldCharType="end"/>
      </w:r>
    </w:p>
    <w:p>
      <w:pPr>
        <w:pStyle w:val="10"/>
        <w:tabs>
          <w:tab w:val="right" w:leader="dot" w:pos="8306"/>
        </w:tabs>
      </w:pPr>
      <w:r>
        <w:fldChar w:fldCharType="begin"/>
      </w:r>
      <w:r>
        <w:instrText xml:space="preserve"> HYPERLINK \l _Toc9675 </w:instrText>
      </w:r>
      <w:r>
        <w:fldChar w:fldCharType="separate"/>
      </w:r>
      <w:r>
        <w:rPr>
          <w:rFonts w:hint="eastAsia" w:ascii="黑体" w:hAnsi="黑体" w:eastAsia="黑体" w:cs="黑体"/>
          <w:szCs w:val="28"/>
          <w:lang w:val="en-US" w:eastAsia="zh-CN"/>
        </w:rPr>
        <w:t>3.4销售额分布饼图</w:t>
      </w:r>
      <w:r>
        <w:tab/>
      </w:r>
      <w:r>
        <w:fldChar w:fldCharType="begin"/>
      </w:r>
      <w:r>
        <w:instrText xml:space="preserve"> PAGEREF _Toc9675 \h </w:instrText>
      </w:r>
      <w:r>
        <w:fldChar w:fldCharType="separate"/>
      </w:r>
      <w:r>
        <w:t>5</w:t>
      </w:r>
      <w:r>
        <w:fldChar w:fldCharType="end"/>
      </w:r>
      <w:r>
        <w:fldChar w:fldCharType="end"/>
      </w:r>
    </w:p>
    <w:p>
      <w:pPr>
        <w:pStyle w:val="10"/>
        <w:tabs>
          <w:tab w:val="right" w:leader="dot" w:pos="8306"/>
        </w:tabs>
      </w:pPr>
      <w:r>
        <w:fldChar w:fldCharType="begin"/>
      </w:r>
      <w:r>
        <w:instrText xml:space="preserve"> HYPERLINK \l _Toc12540 </w:instrText>
      </w:r>
      <w:r>
        <w:fldChar w:fldCharType="separate"/>
      </w:r>
      <w:r>
        <w:rPr>
          <w:rFonts w:hint="eastAsia" w:ascii="黑体" w:hAnsi="黑体" w:eastAsia="黑体" w:cs="黑体"/>
          <w:szCs w:val="28"/>
          <w:lang w:val="en-US" w:eastAsia="zh-CN"/>
        </w:rPr>
        <w:t>3.5月度趋势柱形图</w:t>
      </w:r>
      <w:r>
        <w:tab/>
      </w:r>
      <w:r>
        <w:fldChar w:fldCharType="begin"/>
      </w:r>
      <w:r>
        <w:instrText xml:space="preserve"> PAGEREF _Toc12540 \h </w:instrText>
      </w:r>
      <w:r>
        <w:fldChar w:fldCharType="separate"/>
      </w:r>
      <w:r>
        <w:t>6</w:t>
      </w:r>
      <w:r>
        <w:fldChar w:fldCharType="end"/>
      </w:r>
      <w:r>
        <w:fldChar w:fldCharType="end"/>
      </w:r>
    </w:p>
    <w:p>
      <w:pPr>
        <w:pStyle w:val="10"/>
        <w:tabs>
          <w:tab w:val="right" w:leader="dot" w:pos="8306"/>
        </w:tabs>
      </w:pPr>
      <w:r>
        <w:fldChar w:fldCharType="begin"/>
      </w:r>
      <w:r>
        <w:instrText xml:space="preserve"> HYPERLINK \l _Toc2646 </w:instrText>
      </w:r>
      <w:r>
        <w:fldChar w:fldCharType="separate"/>
      </w:r>
      <w:r>
        <w:rPr>
          <w:rFonts w:hint="eastAsia" w:ascii="黑体" w:hAnsi="黑体" w:eastAsia="黑体" w:cs="黑体"/>
          <w:szCs w:val="28"/>
          <w:lang w:val="en-US" w:eastAsia="zh-CN"/>
        </w:rPr>
        <w:t>3.6价格分布箱型图</w:t>
      </w:r>
      <w:r>
        <w:tab/>
      </w:r>
      <w:r>
        <w:fldChar w:fldCharType="begin"/>
      </w:r>
      <w:r>
        <w:instrText xml:space="preserve"> PAGEREF _Toc2646 \h </w:instrText>
      </w:r>
      <w:r>
        <w:fldChar w:fldCharType="separate"/>
      </w:r>
      <w:r>
        <w:t>7</w:t>
      </w:r>
      <w:r>
        <w:fldChar w:fldCharType="end"/>
      </w:r>
      <w:r>
        <w:fldChar w:fldCharType="end"/>
      </w:r>
    </w:p>
    <w:p>
      <w:pPr>
        <w:pStyle w:val="10"/>
        <w:tabs>
          <w:tab w:val="right" w:leader="dot" w:pos="8306"/>
        </w:tabs>
      </w:pPr>
      <w:r>
        <w:fldChar w:fldCharType="begin"/>
      </w:r>
      <w:r>
        <w:instrText xml:space="preserve"> HYPERLINK \l _Toc25136 </w:instrText>
      </w:r>
      <w:r>
        <w:fldChar w:fldCharType="separate"/>
      </w:r>
      <w:r>
        <w:rPr>
          <w:rFonts w:hint="eastAsia" w:ascii="黑体" w:hAnsi="黑体" w:eastAsia="黑体" w:cs="黑体"/>
          <w:szCs w:val="28"/>
          <w:lang w:val="en-US" w:eastAsia="zh-CN"/>
        </w:rPr>
        <w:t>3.7业务指标仪表盘</w:t>
      </w:r>
      <w:r>
        <w:tab/>
      </w:r>
      <w:r>
        <w:fldChar w:fldCharType="begin"/>
      </w:r>
      <w:r>
        <w:instrText xml:space="preserve"> PAGEREF _Toc25136 \h </w:instrText>
      </w:r>
      <w:r>
        <w:fldChar w:fldCharType="separate"/>
      </w:r>
      <w:r>
        <w:t>8</w:t>
      </w:r>
      <w:r>
        <w:fldChar w:fldCharType="end"/>
      </w:r>
      <w:r>
        <w:fldChar w:fldCharType="end"/>
      </w:r>
    </w:p>
    <w:p>
      <w:pPr>
        <w:pStyle w:val="10"/>
        <w:tabs>
          <w:tab w:val="right" w:leader="dot" w:pos="8306"/>
        </w:tabs>
      </w:pPr>
      <w:r>
        <w:fldChar w:fldCharType="begin"/>
      </w:r>
      <w:r>
        <w:instrText xml:space="preserve"> HYPERLINK \l _Toc28892 </w:instrText>
      </w:r>
      <w:r>
        <w:fldChar w:fldCharType="separate"/>
      </w:r>
      <w:r>
        <w:rPr>
          <w:rFonts w:hint="eastAsia" w:ascii="黑体" w:hAnsi="黑体" w:eastAsia="黑体" w:cs="黑体"/>
          <w:szCs w:val="28"/>
          <w:lang w:val="en-US" w:eastAsia="zh-CN"/>
        </w:rPr>
        <w:t>3.8日销售折线图</w:t>
      </w:r>
      <w:r>
        <w:tab/>
      </w:r>
      <w:r>
        <w:fldChar w:fldCharType="begin"/>
      </w:r>
      <w:r>
        <w:instrText xml:space="preserve"> PAGEREF _Toc28892 \h </w:instrText>
      </w:r>
      <w:r>
        <w:fldChar w:fldCharType="separate"/>
      </w:r>
      <w:r>
        <w:t>9</w:t>
      </w:r>
      <w:r>
        <w:fldChar w:fldCharType="end"/>
      </w:r>
      <w:r>
        <w:fldChar w:fldCharType="end"/>
      </w:r>
    </w:p>
    <w:p>
      <w:pPr>
        <w:pStyle w:val="10"/>
        <w:tabs>
          <w:tab w:val="right" w:leader="dot" w:pos="8306"/>
        </w:tabs>
      </w:pPr>
      <w:r>
        <w:fldChar w:fldCharType="begin"/>
      </w:r>
      <w:r>
        <w:instrText xml:space="preserve"> HYPERLINK \l _Toc31839 </w:instrText>
      </w:r>
      <w:r>
        <w:fldChar w:fldCharType="separate"/>
      </w:r>
      <w:r>
        <w:rPr>
          <w:rFonts w:hint="eastAsia" w:ascii="黑体" w:hAnsi="黑体" w:eastAsia="黑体" w:cs="黑体"/>
          <w:szCs w:val="28"/>
          <w:lang w:val="en-US" w:eastAsia="zh-CN"/>
        </w:rPr>
        <w:t>3.9客户价值散点图</w:t>
      </w:r>
      <w:r>
        <w:tab/>
      </w:r>
      <w:r>
        <w:fldChar w:fldCharType="begin"/>
      </w:r>
      <w:r>
        <w:instrText xml:space="preserve"> PAGEREF _Toc31839 \h </w:instrText>
      </w:r>
      <w:r>
        <w:fldChar w:fldCharType="separate"/>
      </w:r>
      <w:r>
        <w:t>10</w:t>
      </w:r>
      <w:r>
        <w:fldChar w:fldCharType="end"/>
      </w:r>
      <w:r>
        <w:fldChar w:fldCharType="end"/>
      </w:r>
    </w:p>
    <w:p>
      <w:pPr>
        <w:pStyle w:val="10"/>
        <w:tabs>
          <w:tab w:val="right" w:leader="dot" w:pos="8306"/>
        </w:tabs>
      </w:pPr>
      <w:r>
        <w:fldChar w:fldCharType="begin"/>
      </w:r>
      <w:r>
        <w:instrText xml:space="preserve"> HYPERLINK \l _Toc1205 </w:instrText>
      </w:r>
      <w:r>
        <w:fldChar w:fldCharType="separate"/>
      </w:r>
      <w:r>
        <w:rPr>
          <w:rFonts w:hint="eastAsia" w:ascii="黑体" w:hAnsi="黑体" w:eastAsia="黑体" w:cs="黑体"/>
          <w:szCs w:val="28"/>
          <w:lang w:val="en-US" w:eastAsia="zh-CN"/>
        </w:rPr>
        <w:t>3.10时间分布热力图</w:t>
      </w:r>
      <w:r>
        <w:tab/>
      </w:r>
      <w:r>
        <w:fldChar w:fldCharType="begin"/>
      </w:r>
      <w:r>
        <w:instrText xml:space="preserve"> PAGEREF _Toc1205 \h </w:instrText>
      </w:r>
      <w:r>
        <w:fldChar w:fldCharType="separate"/>
      </w:r>
      <w:r>
        <w:t>10</w:t>
      </w:r>
      <w:r>
        <w:fldChar w:fldCharType="end"/>
      </w:r>
      <w:r>
        <w:fldChar w:fldCharType="end"/>
      </w:r>
    </w:p>
    <w:p>
      <w:pPr>
        <w:pStyle w:val="10"/>
        <w:tabs>
          <w:tab w:val="right" w:leader="dot" w:pos="8306"/>
        </w:tabs>
      </w:pPr>
      <w:r>
        <w:fldChar w:fldCharType="begin"/>
      </w:r>
      <w:r>
        <w:instrText xml:space="preserve"> HYPERLINK \l _Toc14021 </w:instrText>
      </w:r>
      <w:r>
        <w:fldChar w:fldCharType="separate"/>
      </w:r>
      <w:r>
        <w:rPr>
          <w:rFonts w:hint="eastAsia" w:ascii="黑体" w:hAnsi="黑体" w:eastAsia="黑体" w:cs="黑体"/>
          <w:szCs w:val="28"/>
          <w:lang w:val="en-US" w:eastAsia="zh-CN"/>
        </w:rPr>
        <w:t>3.11多维度对比雷达图</w:t>
      </w:r>
      <w:r>
        <w:tab/>
      </w:r>
      <w:r>
        <w:fldChar w:fldCharType="begin"/>
      </w:r>
      <w:r>
        <w:instrText xml:space="preserve"> PAGEREF _Toc14021 \h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_Toc7246 </w:instrText>
      </w:r>
      <w:r>
        <w:fldChar w:fldCharType="separate"/>
      </w:r>
      <w:r>
        <w:rPr>
          <w:rFonts w:hint="eastAsia" w:ascii="黑体" w:hAnsi="黑体" w:eastAsia="黑体" w:cs="黑体"/>
          <w:szCs w:val="28"/>
          <w:lang w:val="en-US" w:eastAsia="zh-CN"/>
        </w:rPr>
        <w:t>3.12商品关系网格图</w:t>
      </w:r>
      <w:r>
        <w:tab/>
      </w:r>
      <w:r>
        <w:fldChar w:fldCharType="begin"/>
      </w:r>
      <w:r>
        <w:instrText xml:space="preserve"> PAGEREF _Toc7246 \h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_Toc8632 </w:instrText>
      </w:r>
      <w:r>
        <w:fldChar w:fldCharType="separate"/>
      </w:r>
      <w:r>
        <w:rPr>
          <w:rFonts w:hint="eastAsia" w:ascii="黑体" w:hAnsi="黑体" w:eastAsia="黑体" w:cs="黑体"/>
          <w:szCs w:val="28"/>
          <w:lang w:val="en-US" w:eastAsia="zh-CN"/>
        </w:rPr>
        <w:t>3.13销售预测图</w:t>
      </w:r>
      <w:r>
        <w:tab/>
      </w:r>
      <w:r>
        <w:fldChar w:fldCharType="begin"/>
      </w:r>
      <w:r>
        <w:instrText xml:space="preserve"> PAGEREF _Toc8632 \h </w:instrText>
      </w:r>
      <w:r>
        <w:fldChar w:fldCharType="separate"/>
      </w:r>
      <w:r>
        <w:t>12</w:t>
      </w:r>
      <w:r>
        <w:fldChar w:fldCharType="end"/>
      </w:r>
      <w:r>
        <w:fldChar w:fldCharType="end"/>
      </w:r>
    </w:p>
    <w:p>
      <w:pPr>
        <w:pStyle w:val="10"/>
        <w:tabs>
          <w:tab w:val="right" w:leader="dot" w:pos="8306"/>
        </w:tabs>
      </w:pPr>
      <w:r>
        <w:fldChar w:fldCharType="begin"/>
      </w:r>
      <w:r>
        <w:instrText xml:space="preserve"> HYPERLINK \l _Toc13273 </w:instrText>
      </w:r>
      <w:r>
        <w:fldChar w:fldCharType="separate"/>
      </w:r>
      <w:r>
        <w:rPr>
          <w:rFonts w:hint="eastAsia" w:ascii="黑体" w:hAnsi="黑体" w:eastAsia="黑体" w:cs="黑体"/>
          <w:szCs w:val="28"/>
          <w:lang w:val="en-US" w:eastAsia="zh-CN"/>
        </w:rPr>
        <w:t>3.14累计增长面积图</w:t>
      </w:r>
      <w:r>
        <w:tab/>
      </w:r>
      <w:r>
        <w:fldChar w:fldCharType="begin"/>
      </w:r>
      <w:r>
        <w:instrText xml:space="preserve"> PAGEREF _Toc13273 \h </w:instrText>
      </w:r>
      <w:r>
        <w:fldChar w:fldCharType="separate"/>
      </w:r>
      <w:r>
        <w:t>13</w:t>
      </w:r>
      <w:r>
        <w:fldChar w:fldCharType="end"/>
      </w:r>
      <w:r>
        <w:fldChar w:fldCharType="end"/>
      </w:r>
    </w:p>
    <w:p>
      <w:pPr>
        <w:pStyle w:val="10"/>
        <w:tabs>
          <w:tab w:val="right" w:leader="dot" w:pos="8306"/>
        </w:tabs>
      </w:pPr>
      <w:r>
        <w:fldChar w:fldCharType="begin"/>
      </w:r>
      <w:r>
        <w:instrText xml:space="preserve"> HYPERLINK \l _Toc2318 </w:instrText>
      </w:r>
      <w:r>
        <w:fldChar w:fldCharType="separate"/>
      </w:r>
      <w:r>
        <w:rPr>
          <w:rFonts w:hint="eastAsia" w:ascii="黑体" w:hAnsi="黑体" w:eastAsia="黑体" w:cs="黑体"/>
          <w:szCs w:val="28"/>
          <w:lang w:val="en-US" w:eastAsia="zh-CN"/>
        </w:rPr>
        <w:t>3.15多指标复合图</w:t>
      </w:r>
      <w:r>
        <w:tab/>
      </w:r>
      <w:r>
        <w:fldChar w:fldCharType="begin"/>
      </w:r>
      <w:r>
        <w:instrText xml:space="preserve"> PAGEREF _Toc2318 \h </w:instrText>
      </w:r>
      <w:r>
        <w:fldChar w:fldCharType="separate"/>
      </w:r>
      <w:r>
        <w:t>14</w:t>
      </w:r>
      <w:r>
        <w:fldChar w:fldCharType="end"/>
      </w:r>
      <w:r>
        <w:fldChar w:fldCharType="end"/>
      </w:r>
    </w:p>
    <w:p>
      <w:pPr>
        <w:pStyle w:val="9"/>
        <w:tabs>
          <w:tab w:val="right" w:leader="dot" w:pos="8306"/>
        </w:tabs>
      </w:pPr>
      <w:r>
        <w:fldChar w:fldCharType="begin"/>
      </w:r>
      <w:r>
        <w:instrText xml:space="preserve"> HYPERLINK \l _Toc20114 </w:instrText>
      </w:r>
      <w:r>
        <w:fldChar w:fldCharType="separate"/>
      </w:r>
      <w:r>
        <w:t xml:space="preserve">4. </w:t>
      </w:r>
      <w:r>
        <w:rPr>
          <w:rFonts w:hint="eastAsia"/>
        </w:rPr>
        <w:t>系统总结与展望</w:t>
      </w:r>
      <w:r>
        <w:tab/>
      </w:r>
      <w:r>
        <w:fldChar w:fldCharType="begin"/>
      </w:r>
      <w:r>
        <w:instrText xml:space="preserve"> PAGEREF _Toc20114 \h </w:instrText>
      </w:r>
      <w:r>
        <w:fldChar w:fldCharType="separate"/>
      </w:r>
      <w:r>
        <w:t>15</w:t>
      </w:r>
      <w:r>
        <w:fldChar w:fldCharType="end"/>
      </w:r>
      <w:r>
        <w:fldChar w:fldCharType="end"/>
      </w:r>
    </w:p>
    <w:p>
      <w:pPr>
        <w:pStyle w:val="10"/>
        <w:tabs>
          <w:tab w:val="right" w:leader="dot" w:pos="8306"/>
        </w:tabs>
      </w:pPr>
      <w:r>
        <w:fldChar w:fldCharType="begin"/>
      </w:r>
      <w:r>
        <w:instrText xml:space="preserve"> HYPERLINK \l _Toc14026 </w:instrText>
      </w:r>
      <w:r>
        <w:fldChar w:fldCharType="separate"/>
      </w:r>
      <w:r>
        <w:rPr>
          <w:rFonts w:hint="eastAsia"/>
          <w:lang w:val="en-US" w:eastAsia="zh-CN"/>
        </w:rPr>
        <w:t>4.1</w:t>
      </w:r>
      <w:r>
        <w:rPr>
          <w:rFonts w:hint="default"/>
        </w:rPr>
        <w:t>系统核心优势</w:t>
      </w:r>
      <w:r>
        <w:tab/>
      </w:r>
      <w:r>
        <w:fldChar w:fldCharType="begin"/>
      </w:r>
      <w:r>
        <w:instrText xml:space="preserve"> PAGEREF _Toc14026 \h </w:instrText>
      </w:r>
      <w:r>
        <w:fldChar w:fldCharType="separate"/>
      </w:r>
      <w:r>
        <w:t>15</w:t>
      </w:r>
      <w:r>
        <w:fldChar w:fldCharType="end"/>
      </w:r>
      <w:r>
        <w:fldChar w:fldCharType="end"/>
      </w:r>
    </w:p>
    <w:p>
      <w:pPr>
        <w:pStyle w:val="10"/>
        <w:tabs>
          <w:tab w:val="right" w:leader="dot" w:pos="8306"/>
        </w:tabs>
      </w:pPr>
      <w:r>
        <w:fldChar w:fldCharType="begin"/>
      </w:r>
      <w:r>
        <w:instrText xml:space="preserve"> HYPERLINK \l _Toc31561 </w:instrText>
      </w:r>
      <w:r>
        <w:fldChar w:fldCharType="separate"/>
      </w:r>
      <w:r>
        <w:rPr>
          <w:rFonts w:hint="eastAsia" w:ascii="黑体" w:hAnsi="黑体" w:eastAsia="黑体" w:cs="黑体"/>
          <w:szCs w:val="28"/>
          <w:lang w:val="en-US" w:eastAsia="zh-CN"/>
        </w:rPr>
        <w:t>4.2 系统实现的创新点</w:t>
      </w:r>
      <w:r>
        <w:tab/>
      </w:r>
      <w:r>
        <w:fldChar w:fldCharType="begin"/>
      </w:r>
      <w:r>
        <w:instrText xml:space="preserve"> PAGEREF _Toc31561 \h </w:instrText>
      </w:r>
      <w:r>
        <w:fldChar w:fldCharType="separate"/>
      </w:r>
      <w:r>
        <w:t>15</w:t>
      </w:r>
      <w:r>
        <w:fldChar w:fldCharType="end"/>
      </w:r>
      <w:r>
        <w:fldChar w:fldCharType="end"/>
      </w:r>
    </w:p>
    <w:p>
      <w:pPr>
        <w:pStyle w:val="10"/>
        <w:tabs>
          <w:tab w:val="right" w:leader="dot" w:pos="8306"/>
        </w:tabs>
      </w:pPr>
      <w:r>
        <w:fldChar w:fldCharType="begin"/>
      </w:r>
      <w:r>
        <w:instrText xml:space="preserve"> HYPERLINK \l _Toc8 </w:instrText>
      </w:r>
      <w:r>
        <w:fldChar w:fldCharType="separate"/>
      </w:r>
      <w:r>
        <w:rPr>
          <w:rFonts w:hint="eastAsia" w:ascii="黑体" w:hAnsi="黑体" w:eastAsia="黑体" w:cs="黑体"/>
          <w:szCs w:val="28"/>
          <w:lang w:val="en-US" w:eastAsia="zh-CN"/>
        </w:rPr>
        <w:t>4.3系统指导意义</w:t>
      </w:r>
      <w:r>
        <w:tab/>
      </w:r>
      <w:r>
        <w:fldChar w:fldCharType="begin"/>
      </w:r>
      <w:r>
        <w:instrText xml:space="preserve"> PAGEREF _Toc8 \h </w:instrText>
      </w:r>
      <w:r>
        <w:fldChar w:fldCharType="separate"/>
      </w:r>
      <w:r>
        <w:t>16</w:t>
      </w:r>
      <w:r>
        <w:fldChar w:fldCharType="end"/>
      </w:r>
      <w:r>
        <w:fldChar w:fldCharType="end"/>
      </w:r>
    </w:p>
    <w:p>
      <w:pPr>
        <w:pStyle w:val="9"/>
        <w:tabs>
          <w:tab w:val="right" w:leader="dot" w:pos="8306"/>
        </w:tabs>
      </w:pPr>
      <w:r>
        <w:fldChar w:fldCharType="begin"/>
      </w:r>
      <w:r>
        <w:instrText xml:space="preserve"> HYPERLINK \l _Toc24071 </w:instrText>
      </w:r>
      <w:r>
        <w:fldChar w:fldCharType="separate"/>
      </w:r>
      <w:r>
        <w:rPr>
          <w:rFonts w:hint="eastAsia" w:ascii="黑体" w:hAnsi="黑体" w:eastAsia="黑体" w:cs="黑体"/>
          <w:szCs w:val="28"/>
          <w:lang w:val="en-US" w:eastAsia="zh-CN"/>
        </w:rPr>
        <w:t>5. 结束语</w:t>
      </w:r>
      <w:r>
        <w:tab/>
      </w:r>
      <w:r>
        <w:fldChar w:fldCharType="begin"/>
      </w:r>
      <w:r>
        <w:instrText xml:space="preserve"> PAGEREF _Toc24071 \h </w:instrText>
      </w:r>
      <w:r>
        <w:fldChar w:fldCharType="separate"/>
      </w:r>
      <w:r>
        <w:t>17</w:t>
      </w:r>
      <w:r>
        <w:fldChar w:fldCharType="end"/>
      </w:r>
      <w:r>
        <w:fldChar w:fldCharType="end"/>
      </w:r>
    </w:p>
    <w:p>
      <w:pPr>
        <w:pStyle w:val="9"/>
        <w:tabs>
          <w:tab w:val="right" w:leader="dot" w:pos="8306"/>
        </w:tabs>
      </w:pPr>
      <w:r>
        <w:fldChar w:fldCharType="begin"/>
      </w:r>
      <w:r>
        <w:instrText xml:space="preserve"> HYPERLINK \l _Toc5765 </w:instrText>
      </w:r>
      <w:r>
        <w:fldChar w:fldCharType="separate"/>
      </w:r>
      <w:r>
        <w:rPr>
          <w:rFonts w:hint="eastAsia" w:ascii="黑体" w:hAnsi="黑体" w:eastAsia="黑体" w:cs="黑体"/>
          <w:szCs w:val="28"/>
          <w:lang w:val="en-US" w:eastAsia="zh-CN"/>
        </w:rPr>
        <w:t>6.参考文献</w:t>
      </w:r>
      <w:r>
        <w:tab/>
      </w:r>
      <w:r>
        <w:fldChar w:fldCharType="begin"/>
      </w:r>
      <w:r>
        <w:instrText xml:space="preserve"> PAGEREF _Toc5765 \h </w:instrText>
      </w:r>
      <w:r>
        <w:fldChar w:fldCharType="separate"/>
      </w:r>
      <w:r>
        <w:t>18</w:t>
      </w:r>
      <w:r>
        <w:fldChar w:fldCharType="end"/>
      </w:r>
      <w:r>
        <w:fldChar w:fldCharType="end"/>
      </w:r>
    </w:p>
    <w:p>
      <w:r>
        <w:fldChar w:fldCharType="end"/>
      </w:r>
    </w:p>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960" w:firstLineChars="300"/>
        <w:rPr>
          <w:rFonts w:hint="eastAsia" w:ascii="黑体" w:hAnsi="黑体" w:eastAsia="黑体" w:cs="黑体"/>
          <w:sz w:val="32"/>
          <w:szCs w:val="32"/>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960" w:firstLineChars="300"/>
        <w:rPr>
          <w:rFonts w:hint="eastAsia" w:ascii="黑体" w:hAnsi="黑体" w:eastAsia="黑体" w:cs="黑体"/>
          <w:sz w:val="32"/>
          <w:szCs w:val="32"/>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960" w:firstLineChars="300"/>
        <w:rPr>
          <w:rFonts w:hint="eastAsia" w:ascii="黑体" w:hAnsi="黑体" w:eastAsia="黑体" w:cs="黑体"/>
          <w:sz w:val="32"/>
          <w:szCs w:val="32"/>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960" w:firstLineChars="300"/>
        <w:rPr>
          <w:rFonts w:hint="eastAsia" w:ascii="黑体" w:hAnsi="黑体" w:eastAsia="黑体" w:cs="黑体"/>
          <w:sz w:val="32"/>
          <w:szCs w:val="32"/>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960" w:firstLineChars="300"/>
        <w:rPr>
          <w:rFonts w:hint="eastAsia" w:ascii="黑体" w:hAnsi="黑体" w:eastAsia="黑体" w:cs="黑体"/>
          <w:sz w:val="32"/>
          <w:szCs w:val="32"/>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960" w:firstLineChars="300"/>
        <w:rPr>
          <w:rFonts w:hint="eastAsia" w:ascii="黑体" w:hAnsi="黑体" w:eastAsia="黑体" w:cs="黑体"/>
          <w:sz w:val="32"/>
          <w:szCs w:val="32"/>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960" w:firstLineChars="300"/>
        <w:rPr>
          <w:rFonts w:hint="eastAsia" w:ascii="黑体" w:hAnsi="黑体" w:eastAsia="黑体" w:cs="黑体"/>
          <w:sz w:val="32"/>
          <w:szCs w:val="32"/>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960" w:firstLineChars="300"/>
        <w:rPr>
          <w:rFonts w:hint="eastAsia" w:ascii="黑体" w:hAnsi="黑体" w:eastAsia="黑体" w:cs="黑体"/>
          <w:sz w:val="32"/>
          <w:szCs w:val="32"/>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960" w:firstLineChars="30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对UCI机器学习库的在线零售的可视化分析</w:t>
      </w: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960" w:firstLineChars="300"/>
        <w:rPr>
          <w:rFonts w:hint="eastAsia" w:ascii="宋体" w:hAnsi="宋体" w:eastAsia="宋体" w:cs="宋体"/>
          <w:sz w:val="28"/>
          <w:szCs w:val="28"/>
          <w:lang w:val="en-US" w:eastAsia="zh-CN"/>
        </w:rPr>
      </w:pPr>
      <w:r>
        <w:rPr>
          <w:rFonts w:hint="eastAsia" w:ascii="黑体" w:hAnsi="黑体" w:eastAsia="黑体" w:cs="黑体"/>
          <w:sz w:val="32"/>
          <w:szCs w:val="32"/>
          <w:lang w:val="en-US" w:eastAsia="zh-CN"/>
        </w:rPr>
        <w:t xml:space="preserve">    </w:t>
      </w:r>
      <w:r>
        <w:rPr>
          <w:rFonts w:hint="eastAsia" w:ascii="宋体" w:hAnsi="宋体" w:eastAsia="宋体" w:cs="宋体"/>
          <w:sz w:val="28"/>
          <w:szCs w:val="28"/>
          <w:lang w:val="en-US" w:eastAsia="zh-CN"/>
        </w:rPr>
        <w:t>数据科学与大数据技术   李琦帆</w:t>
      </w: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firstLine="840" w:firstLineChars="300"/>
        <w:rPr>
          <w:rFonts w:hint="eastAsia" w:ascii="宋体" w:hAnsi="宋体" w:eastAsia="宋体" w:cs="宋体"/>
          <w:sz w:val="28"/>
          <w:szCs w:val="28"/>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cs="宋体"/>
          <w:sz w:val="24"/>
          <w:szCs w:val="24"/>
          <w:lang w:val="en-US" w:eastAsia="zh-CN"/>
        </w:rPr>
      </w:pPr>
      <w:r>
        <w:rPr>
          <w:rFonts w:hint="eastAsia" w:ascii="黑体" w:hAnsi="黑体" w:eastAsia="黑体" w:cs="黑体"/>
          <w:b/>
          <w:bCs/>
          <w:sz w:val="24"/>
          <w:szCs w:val="24"/>
          <w:lang w:val="en-US" w:eastAsia="zh-CN"/>
        </w:rPr>
        <w:t>[摘 要]</w:t>
      </w:r>
      <w:r>
        <w:rPr>
          <w:rFonts w:hint="eastAsia" w:ascii="黑体" w:hAnsi="黑体" w:eastAsia="黑体" w:cs="黑体"/>
          <w:sz w:val="24"/>
          <w:szCs w:val="24"/>
          <w:lang w:val="en-US" w:eastAsia="zh-CN"/>
        </w:rPr>
        <w:t xml:space="preserve"> </w:t>
      </w:r>
      <w:r>
        <w:rPr>
          <w:rFonts w:hint="eastAsia" w:ascii="黑体" w:hAnsi="黑体" w:eastAsia="黑体" w:cs="黑体"/>
          <w:sz w:val="28"/>
          <w:szCs w:val="28"/>
          <w:lang w:val="en-US" w:eastAsia="zh-CN"/>
        </w:rPr>
        <w:t xml:space="preserve"> </w:t>
      </w:r>
      <w:r>
        <w:rPr>
          <w:rFonts w:hint="eastAsia" w:cs="宋体"/>
          <w:sz w:val="24"/>
          <w:szCs w:val="24"/>
          <w:lang w:val="en-US" w:eastAsia="zh-CN"/>
        </w:rPr>
        <w:t>本报告基于UCI机器学习库的在线零售数据集，运用Python可视</w:t>
      </w: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cs="宋体"/>
          <w:sz w:val="24"/>
          <w:szCs w:val="24"/>
          <w:lang w:val="en-US" w:eastAsia="zh-CN"/>
        </w:rPr>
      </w:pPr>
      <w:r>
        <w:rPr>
          <w:rFonts w:hint="eastAsia" w:cs="宋体"/>
          <w:sz w:val="24"/>
          <w:szCs w:val="24"/>
          <w:lang w:val="en-US" w:eastAsia="zh-CN"/>
        </w:rPr>
        <w:t>技术对电商业务数据进行全面分析。数据集包含2010年12月至2011年12月期间英国在线零售商的541,909条交易记录，经过数据清洗后保留397,884条有效数据，涵盖4,338名客户和3,665种商品，总销售额达8,911,407.90英镑。通过构建词云图、漏斗图、气泡图、饼图、柱形图、箱型图、仪表盘、折线图、散点图、热力图、雷达图、预测图、面积图、复合图和相关热力图等15种可视化图表，深入挖掘了客户购买行为、商品销售特征、时间趋势规律和地域分布模式。分析揭示了英国市场的销售主导地位、工作日销售高峰规律、价格分布特征以及客户转化路径等关键业务洞察，为电商企业优化产品策略、提升客户体验和制定营销决策提供了数据支撑。</w:t>
      </w: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cs="宋体"/>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cs="宋体"/>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r>
        <w:rPr>
          <w:rFonts w:hint="eastAsia" w:ascii="黑体" w:hAnsi="黑体" w:eastAsia="黑体" w:cs="黑体"/>
          <w:b/>
          <w:bCs/>
          <w:sz w:val="24"/>
          <w:szCs w:val="24"/>
          <w:lang w:val="en-US" w:eastAsia="zh-CN"/>
        </w:rPr>
        <w:t xml:space="preserve">[关键词]  </w:t>
      </w:r>
      <w:r>
        <w:rPr>
          <w:rFonts w:hint="eastAsia" w:ascii="宋体" w:hAnsi="宋体" w:eastAsia="宋体" w:cs="宋体"/>
          <w:b w:val="0"/>
          <w:bCs w:val="0"/>
          <w:sz w:val="24"/>
          <w:szCs w:val="24"/>
          <w:lang w:val="en-US" w:eastAsia="zh-CN"/>
        </w:rPr>
        <w:t>大数据可视化、电商数据分析、Python可视化、客户行为分析、销售趋势预测、数据挖掘</w:t>
      </w: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eastAsia" w:ascii="宋体" w:hAnsi="宋体" w:eastAsia="宋体" w:cs="宋体"/>
          <w:b w:val="0"/>
          <w:bCs w:val="0"/>
          <w:sz w:val="24"/>
          <w:szCs w:val="24"/>
          <w:lang w:val="en-US" w:eastAsia="zh-CN"/>
        </w:rPr>
      </w:pPr>
    </w:p>
    <w:p>
      <w:pPr>
        <w:pStyle w:val="2"/>
        <w:keepNext/>
        <w:keepLines/>
        <w:pageBreakBefore w:val="0"/>
        <w:widowControl/>
        <w:kinsoku/>
        <w:wordWrap/>
        <w:overflowPunct/>
        <w:topLinePunct w:val="0"/>
        <w:autoSpaceDE/>
        <w:autoSpaceDN/>
        <w:bidi w:val="0"/>
        <w:adjustRightInd/>
        <w:snapToGrid/>
        <w:ind w:left="425" w:hanging="425"/>
        <w:textAlignment w:val="auto"/>
        <w:rPr>
          <w:rFonts w:hint="default"/>
          <w:lang w:val="en-US" w:eastAsia="zh-CN"/>
        </w:rPr>
        <w:sectPr>
          <w:head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9" w:name="_Toc20212"/>
      <w:bookmarkStart w:id="10" w:name="_Toc26931"/>
      <w:bookmarkStart w:id="11" w:name="_Toc27481"/>
    </w:p>
    <w:p>
      <w:pPr>
        <w:pStyle w:val="2"/>
        <w:keepNext/>
        <w:keepLines/>
        <w:pageBreakBefore w:val="0"/>
        <w:widowControl/>
        <w:numPr>
          <w:ilvl w:val="0"/>
          <w:numId w:val="0"/>
        </w:numPr>
        <w:kinsoku/>
        <w:wordWrap/>
        <w:overflowPunct/>
        <w:topLinePunct w:val="0"/>
        <w:autoSpaceDE/>
        <w:autoSpaceDN/>
        <w:bidi w:val="0"/>
        <w:adjustRightInd/>
        <w:snapToGrid/>
        <w:ind w:leftChars="0"/>
        <w:textAlignment w:val="auto"/>
        <w:rPr>
          <w:rFonts w:hint="default"/>
          <w:b w:val="0"/>
          <w:bCs/>
          <w:lang w:val="en-US" w:eastAsia="zh-CN"/>
        </w:rPr>
      </w:pPr>
      <w:bookmarkStart w:id="12" w:name="_Toc17113"/>
      <w:bookmarkStart w:id="13" w:name="_Toc11662"/>
      <w:bookmarkStart w:id="14" w:name="_Toc926"/>
      <w:bookmarkStart w:id="15" w:name="_Toc28347"/>
      <w:bookmarkStart w:id="16" w:name="_Toc27086"/>
      <w:r>
        <w:rPr>
          <w:rFonts w:hint="eastAsia"/>
          <w:b w:val="0"/>
          <w:bCs/>
          <w:lang w:val="en-US" w:eastAsia="zh-CN"/>
        </w:rPr>
        <w:t>1.数据来源和字段说明</w:t>
      </w:r>
      <w:bookmarkEnd w:id="9"/>
      <w:bookmarkEnd w:id="10"/>
      <w:bookmarkEnd w:id="11"/>
      <w:bookmarkEnd w:id="12"/>
      <w:bookmarkEnd w:id="13"/>
      <w:bookmarkEnd w:id="14"/>
      <w:bookmarkEnd w:id="15"/>
      <w:bookmarkEnd w:id="16"/>
    </w:p>
    <w:p>
      <w:pPr>
        <w:pStyle w:val="4"/>
        <w:bidi w:val="0"/>
        <w:rPr>
          <w:rFonts w:hint="default"/>
          <w:lang w:val="en-US" w:eastAsia="zh-CN"/>
        </w:rPr>
      </w:pPr>
      <w:bookmarkStart w:id="17" w:name="_Toc1202"/>
      <w:bookmarkStart w:id="18" w:name="_Toc16545"/>
      <w:bookmarkStart w:id="19" w:name="_Toc8650"/>
      <w:bookmarkStart w:id="20" w:name="_Toc32718"/>
      <w:bookmarkStart w:id="21" w:name="_Toc31159"/>
      <w:bookmarkStart w:id="22" w:name="_Toc30948"/>
      <w:bookmarkStart w:id="23" w:name="_Toc11376"/>
      <w:bookmarkStart w:id="24" w:name="_Toc21811"/>
      <w:r>
        <w:rPr>
          <w:rFonts w:hint="eastAsia"/>
          <w:lang w:val="en-US" w:eastAsia="zh-CN"/>
        </w:rPr>
        <w:t>数据来源</w:t>
      </w:r>
      <w:bookmarkEnd w:id="17"/>
      <w:bookmarkEnd w:id="18"/>
      <w:bookmarkEnd w:id="19"/>
      <w:bookmarkEnd w:id="20"/>
      <w:bookmarkEnd w:id="21"/>
      <w:bookmarkEnd w:id="22"/>
      <w:bookmarkEnd w:id="23"/>
      <w:bookmarkEnd w:id="24"/>
    </w:p>
    <w:p>
      <w:pPr>
        <w:pStyle w:val="3"/>
        <w:rPr>
          <w:rFonts w:hint="default"/>
          <w:sz w:val="24"/>
          <w:szCs w:val="24"/>
          <w:lang w:val="en-US" w:eastAsia="zh-CN"/>
        </w:rPr>
      </w:pPr>
      <w:r>
        <w:rPr>
          <w:rFonts w:hint="default"/>
          <w:sz w:val="24"/>
          <w:szCs w:val="24"/>
          <w:lang w:val="en-US" w:eastAsia="zh-CN"/>
        </w:rPr>
        <w:t>本分析采用的原始数据集来源于UCI机器学习库的在线零售数据集，该数据集记录了英国一家注册非商店在线零售商在2010年12月1日至2011年12月9日期间的完整交易信息。原始数据集包含541，909条交易记录，涵盖发票编号、产品代码、产品描述、购买数量、交易时间戳、产品单价、客户ID和国家等关键字段，经过数据清洗和质量控制后，最终保留397，884条有效记录用于本次可视化分析。这一数据集具有时间跨度完整、地理覆盖广泛、产品种类丰富等特点，为客户行为分析、销售趋势预测和商品特征挖掘提供了坚实的数据基础，确保了可视化分析结果的可靠性和代表性。</w:t>
      </w:r>
    </w:p>
    <w:p>
      <w:pPr>
        <w:pStyle w:val="3"/>
        <w:rPr>
          <w:rFonts w:hint="default"/>
          <w:sz w:val="28"/>
          <w:szCs w:val="28"/>
          <w:lang w:val="en-US" w:eastAsia="zh-CN"/>
        </w:rPr>
      </w:pPr>
    </w:p>
    <w:p>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outlineLvl w:val="1"/>
        <w:rPr>
          <w:rFonts w:hint="eastAsia" w:ascii="黑体" w:hAnsi="黑体" w:eastAsia="黑体" w:cs="黑体"/>
          <w:sz w:val="28"/>
          <w:szCs w:val="28"/>
          <w:lang w:val="en-US" w:eastAsia="zh-CN"/>
        </w:rPr>
      </w:pPr>
      <w:bookmarkStart w:id="25" w:name="_Toc21196"/>
      <w:bookmarkStart w:id="26" w:name="_Toc20248"/>
      <w:bookmarkStart w:id="27" w:name="_Toc30641"/>
      <w:bookmarkStart w:id="28" w:name="_Toc17526"/>
      <w:bookmarkStart w:id="29" w:name="_Toc1044"/>
      <w:bookmarkStart w:id="30" w:name="_Toc12030"/>
      <w:bookmarkStart w:id="31" w:name="_Toc24501"/>
      <w:r>
        <w:rPr>
          <w:rFonts w:hint="eastAsia" w:ascii="黑体" w:hAnsi="黑体" w:eastAsia="黑体" w:cs="黑体"/>
          <w:sz w:val="28"/>
          <w:szCs w:val="28"/>
          <w:lang w:val="en-US" w:eastAsia="zh-CN"/>
        </w:rPr>
        <w:t>1.2  数据字典</w:t>
      </w:r>
      <w:bookmarkEnd w:id="25"/>
      <w:bookmarkEnd w:id="26"/>
      <w:bookmarkEnd w:id="27"/>
      <w:bookmarkEnd w:id="28"/>
      <w:bookmarkEnd w:id="29"/>
      <w:bookmarkEnd w:id="30"/>
      <w:bookmarkEnd w:id="31"/>
    </w:p>
    <w:p>
      <w:pPr>
        <w:pStyle w:val="3"/>
        <w:ind w:left="0" w:leftChars="0" w:firstLine="0" w:firstLineChars="0"/>
        <w:rPr>
          <w:rFonts w:hint="eastAsia" w:ascii="黑体" w:hAnsi="黑体" w:eastAsia="黑体" w:cs="黑体"/>
          <w:sz w:val="28"/>
          <w:szCs w:val="28"/>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default" w:ascii="宋体" w:hAnsi="宋体" w:eastAsia="宋体" w:cs="宋体"/>
          <w:b w:val="0"/>
          <w:bCs w:val="0"/>
          <w:sz w:val="24"/>
          <w:szCs w:val="24"/>
          <w:lang w:val="en-US" w:eastAsia="zh-CN"/>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85"/>
        <w:gridCol w:w="1070"/>
        <w:gridCol w:w="2118"/>
        <w:gridCol w:w="37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字段名称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数据类型</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字段说明</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业务含义</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InvoiceNo</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文本</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发票编号（6位数字）</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唯一标识每笔交易，以'C'开头的表示取消订单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StockCode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文本</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产品代码（5位字符）</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唯一标识每个产品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Description</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文本</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产品描述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产品的详细描述信息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Quantity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数值</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产品数量</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每笔交易中产品的购买数量，负值表示退货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InvoiceDate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日期时间</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发票日期和时间</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交易发生的时间戳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UnitPrice</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数值</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产品单价（英镑）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每个产品的单位价格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CustomerID</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数值</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客户ID</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唯一标识每个客户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Country</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文本</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16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国家名称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00" w:type="dxa"/>
              <w:left w:w="160" w:type="dxa"/>
              <w:bottom w:w="100" w:type="dxa"/>
              <w:right w:w="0" w:type="dxa"/>
            </w:tcMar>
            <w:vAlign w:val="center"/>
          </w:tcPr>
          <w:p>
            <w:pPr>
              <w:keepNext w:val="0"/>
              <w:keepLines w:val="0"/>
              <w:widowControl/>
              <w:suppressLineNumbers w:val="0"/>
              <w:spacing w:line="250" w:lineRule="atLeast"/>
              <w:jc w:val="left"/>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kern w:val="0"/>
                <w:sz w:val="24"/>
                <w:szCs w:val="24"/>
                <w:lang w:val="en-US" w:eastAsia="zh-CN" w:bidi="ar"/>
              </w:rPr>
              <w:t>客户所在的国家</w:t>
            </w:r>
          </w:p>
        </w:tc>
      </w:tr>
    </w:tbl>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default" w:cs="宋体"/>
          <w:sz w:val="24"/>
          <w:szCs w:val="24"/>
          <w:lang w:val="en-US" w:eastAsia="zh-CN"/>
        </w:rPr>
      </w:pPr>
    </w:p>
    <w:p>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right="0"/>
        <w:rPr>
          <w:rFonts w:hint="default" w:cs="宋体"/>
          <w:sz w:val="24"/>
          <w:szCs w:val="24"/>
          <w:lang w:val="en-US" w:eastAsia="zh-CN"/>
        </w:rPr>
      </w:pPr>
    </w:p>
    <w:p>
      <w:pPr>
        <w:rPr>
          <w:rFonts w:hint="eastAsia" w:eastAsia="宋体"/>
          <w:lang w:val="en-US" w:eastAsia="zh-CN"/>
        </w:rPr>
      </w:pPr>
    </w:p>
    <w:p>
      <w:pPr>
        <w:rPr>
          <w:rFonts w:hint="eastAsia" w:eastAsia="宋体"/>
          <w:lang w:val="en-US" w:eastAsia="zh-CN"/>
        </w:rPr>
      </w:pPr>
    </w:p>
    <w:p>
      <w:pPr>
        <w:keepNext w:val="0"/>
        <w:keepLines w:val="0"/>
        <w:pageBreakBefore w:val="0"/>
        <w:widowControl w:val="0"/>
        <w:kinsoku/>
        <w:wordWrap/>
        <w:overflowPunct/>
        <w:topLinePunct w:val="0"/>
        <w:autoSpaceDE/>
        <w:autoSpaceDN/>
        <w:bidi w:val="0"/>
        <w:adjustRightInd/>
        <w:snapToGrid/>
        <w:textAlignment w:val="auto"/>
        <w:outlineLvl w:val="1"/>
        <w:rPr>
          <w:rFonts w:hint="eastAsia" w:ascii="黑体" w:hAnsi="黑体" w:eastAsia="黑体" w:cs="黑体"/>
          <w:sz w:val="28"/>
          <w:szCs w:val="28"/>
          <w:lang w:val="en-US" w:eastAsia="zh-CN"/>
        </w:rPr>
      </w:pPr>
      <w:bookmarkStart w:id="32" w:name="_Toc5773"/>
      <w:bookmarkStart w:id="33" w:name="_Toc30061"/>
      <w:bookmarkStart w:id="34" w:name="_Toc6650"/>
      <w:bookmarkStart w:id="35" w:name="_Toc12304"/>
      <w:bookmarkStart w:id="36" w:name="_Toc14954"/>
      <w:bookmarkStart w:id="37" w:name="_Toc7901"/>
      <w:bookmarkStart w:id="38" w:name="_Toc19899"/>
      <w:r>
        <w:rPr>
          <w:rFonts w:hint="eastAsia" w:ascii="黑体" w:hAnsi="黑体" w:eastAsia="黑体" w:cs="黑体"/>
          <w:sz w:val="28"/>
          <w:szCs w:val="28"/>
          <w:lang w:val="en-US" w:eastAsia="zh-CN"/>
        </w:rPr>
        <w:t>1.3  数据清洗</w:t>
      </w:r>
      <w:bookmarkEnd w:id="32"/>
      <w:bookmarkEnd w:id="33"/>
      <w:bookmarkEnd w:id="34"/>
      <w:bookmarkEnd w:id="35"/>
      <w:bookmarkEnd w:id="36"/>
      <w:bookmarkEnd w:id="37"/>
      <w:bookmarkEnd w:id="38"/>
    </w:p>
    <w:p>
      <w:p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数据预处理阶段，我对原始数据集进行了系统的清洗和整理工作，首先剔除了客户ID缺失的记录以确保用户行为分析的准确性，随后过滤了购买数量和商品单价为零或负值的异常交易条目，这些数据通常代表退货操作或系统错误记录。同时我们对日期时间格式进行了标准化处理，确保时间序列分析的一致性，并通过计算生成总销售额等衍生字段以支持多维度的可视化分析。经过这一系列严格的数据质量控制流程，原始数据集从541，909条记录精炼至397，884条高质量交易数据，为后续的可视化分析奠定了坚实的数据基础，有效避免了噪声数据对分析结果的干扰。</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textAlignment w:val="auto"/>
        <w:outlineLvl w:val="0"/>
        <w:rPr>
          <w:rFonts w:hint="eastAsia" w:ascii="黑体" w:hAnsi="黑体" w:eastAsia="黑体" w:cs="黑体"/>
          <w:sz w:val="28"/>
          <w:szCs w:val="28"/>
          <w:lang w:val="en-US" w:eastAsia="zh-CN"/>
        </w:rPr>
      </w:pPr>
      <w:bookmarkStart w:id="39" w:name="_Toc14878"/>
      <w:bookmarkStart w:id="40" w:name="_Toc12464"/>
      <w:bookmarkStart w:id="41" w:name="_Toc20269"/>
      <w:bookmarkStart w:id="42" w:name="_Toc28121"/>
      <w:bookmarkStart w:id="43" w:name="_Toc22488"/>
      <w:bookmarkStart w:id="44" w:name="_Toc15372"/>
      <w:bookmarkStart w:id="45" w:name="_Toc26237"/>
      <w:r>
        <w:rPr>
          <w:rFonts w:hint="eastAsia" w:ascii="黑体" w:hAnsi="黑体" w:eastAsia="黑体" w:cs="黑体"/>
          <w:sz w:val="28"/>
          <w:szCs w:val="28"/>
          <w:lang w:val="en-US" w:eastAsia="zh-CN"/>
        </w:rPr>
        <w:t>相关理论与技术</w:t>
      </w:r>
      <w:bookmarkEnd w:id="39"/>
      <w:bookmarkEnd w:id="40"/>
      <w:bookmarkEnd w:id="41"/>
      <w:bookmarkEnd w:id="42"/>
      <w:bookmarkEnd w:id="43"/>
      <w:bookmarkEnd w:id="44"/>
      <w:bookmarkEnd w:id="45"/>
    </w:p>
    <w:p>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次大数据可视化分析项目基于数据可视化领域的核心理论与技术框架，运用了图形语法和视觉编码理论来指导图表类型的选择和设计。在技术实现层面，主要依托Python生态系统中的Matplotlib、Seaborn和Plotly等主流可视化库，其中Matplotlib提供了基础的绘图功能，Seaborn基于统计视角简化了复杂图表的创建过程，而Plotly则提供了丰富的交互式可视化能力。项目还结合了数据预处理技术包括缺失值处理、异常值检测和数据标准化等方法，确保分析结果的准确性；同时应用了基本的统计分析方法如相关性分析、趋势预测和分布特征挖掘，通过多维度、多层次的视觉呈现方式，将抽象的数值信息转化为直观的图形表达，有效支持了业务洞察的发现和决策辅助功能的实现。</w:t>
      </w:r>
    </w:p>
    <w:p>
      <w:pPr>
        <w:numPr>
          <w:ilvl w:val="0"/>
          <w:numId w:val="0"/>
        </w:numPr>
        <w:rPr>
          <w:rFonts w:hint="eastAsia" w:ascii="宋体" w:hAnsi="宋体" w:eastAsia="宋体" w:cs="宋体"/>
          <w:sz w:val="24"/>
          <w:szCs w:val="24"/>
          <w:lang w:val="en-US" w:eastAsia="zh-CN"/>
        </w:rPr>
      </w:pPr>
    </w:p>
    <w:p>
      <w:pPr>
        <w:pStyle w:val="2"/>
        <w:keepNext/>
        <w:keepLines/>
        <w:pageBreakBefore w:val="0"/>
        <w:widowControl/>
        <w:numPr>
          <w:ilvl w:val="0"/>
          <w:numId w:val="2"/>
        </w:numPr>
        <w:kinsoku/>
        <w:wordWrap/>
        <w:overflowPunct/>
        <w:topLinePunct w:val="0"/>
        <w:autoSpaceDE/>
        <w:autoSpaceDN/>
        <w:bidi w:val="0"/>
        <w:adjustRightInd/>
        <w:snapToGrid/>
        <w:ind w:left="0" w:leftChars="0" w:firstLine="0" w:firstLineChars="0"/>
        <w:textAlignment w:val="auto"/>
        <w:rPr>
          <w:rFonts w:hint="eastAsia"/>
          <w:lang w:val="en-US" w:eastAsia="zh-CN"/>
        </w:rPr>
      </w:pPr>
      <w:bookmarkStart w:id="46" w:name="_Toc13741"/>
      <w:bookmarkStart w:id="47" w:name="_Toc32697"/>
      <w:bookmarkStart w:id="48" w:name="_Toc12121"/>
      <w:bookmarkStart w:id="49" w:name="_Toc18658"/>
      <w:bookmarkStart w:id="50" w:name="_Toc21481"/>
      <w:bookmarkStart w:id="51" w:name="_Toc20472"/>
      <w:bookmarkStart w:id="52" w:name="_Toc13891"/>
      <w:bookmarkStart w:id="53" w:name="_Toc12411"/>
      <w:r>
        <w:rPr>
          <w:rFonts w:hint="eastAsia"/>
          <w:lang w:val="en-US" w:eastAsia="zh-CN"/>
        </w:rPr>
        <w:t>可视化系统实现与分析结论</w:t>
      </w:r>
      <w:bookmarkEnd w:id="46"/>
      <w:bookmarkEnd w:id="47"/>
      <w:bookmarkEnd w:id="48"/>
      <w:bookmarkEnd w:id="49"/>
      <w:bookmarkEnd w:id="50"/>
      <w:bookmarkEnd w:id="51"/>
      <w:bookmarkEnd w:id="52"/>
      <w:bookmarkEnd w:id="53"/>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54" w:name="_Toc7014"/>
      <w:bookmarkStart w:id="55" w:name="_Toc640"/>
      <w:bookmarkStart w:id="56" w:name="_Toc12385"/>
      <w:bookmarkStart w:id="57" w:name="_Toc27804"/>
      <w:bookmarkStart w:id="58" w:name="_Toc8156"/>
      <w:bookmarkStart w:id="59" w:name="_Toc286"/>
      <w:bookmarkStart w:id="60" w:name="_Toc19935"/>
      <w:r>
        <w:rPr>
          <w:rFonts w:hint="eastAsia" w:ascii="黑体" w:hAnsi="黑体" w:eastAsia="黑体" w:cs="黑体"/>
          <w:sz w:val="28"/>
          <w:szCs w:val="28"/>
          <w:lang w:val="en-US" w:eastAsia="zh-CN"/>
        </w:rPr>
        <w:t>3.1商品描述词云图</w:t>
      </w:r>
      <w:bookmarkEnd w:id="54"/>
      <w:bookmarkEnd w:id="55"/>
      <w:bookmarkEnd w:id="56"/>
      <w:bookmarkEnd w:id="57"/>
      <w:bookmarkEnd w:id="58"/>
      <w:bookmarkEnd w:id="59"/>
      <w:bookmarkEnd w:id="60"/>
    </w:p>
    <w:p>
      <w:pPr>
        <w:pStyle w:val="3"/>
        <w:numPr>
          <w:ilvl w:val="0"/>
          <w:numId w:val="0"/>
        </w:numPr>
        <w:ind w:leftChars="0" w:firstLine="482" w:firstLineChars="200"/>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b/>
          <w:bCs/>
          <w:color w:val="000000" w:themeColor="text1"/>
          <w:sz w:val="24"/>
          <w:lang w:val="en-US" w:eastAsia="zh-CN"/>
          <w14:textFill>
            <w14:solidFill>
              <w14:schemeClr w14:val="tx1"/>
            </w14:solidFill>
          </w14:textFill>
        </w:rPr>
        <w:t>图表类型</w:t>
      </w:r>
      <w:r>
        <w:rPr>
          <w:rFonts w:hint="eastAsia" w:ascii="宋体" w:hAnsi="宋体" w:eastAsia="宋体" w:cs="宋体"/>
          <w:color w:val="000000" w:themeColor="text1"/>
          <w:sz w:val="24"/>
          <w:lang w:val="en-US" w:eastAsia="zh-CN"/>
          <w14:textFill>
            <w14:solidFill>
              <w14:schemeClr w14:val="tx1"/>
            </w14:solidFill>
          </w14:textFill>
        </w:rPr>
        <w:t>：词云图</w:t>
      </w:r>
    </w:p>
    <w:p>
      <w:pPr>
        <w:pStyle w:val="3"/>
        <w:numPr>
          <w:ilvl w:val="0"/>
          <w:numId w:val="0"/>
        </w:numPr>
        <w:ind w:leftChars="0" w:firstLine="482" w:firstLineChars="200"/>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b/>
          <w:bCs/>
          <w:color w:val="000000" w:themeColor="text1"/>
          <w:sz w:val="24"/>
          <w:lang w:val="en-US" w:eastAsia="zh-CN"/>
          <w14:textFill>
            <w14:solidFill>
              <w14:schemeClr w14:val="tx1"/>
            </w14:solidFill>
          </w14:textFill>
        </w:rPr>
        <w:t>核心字段</w:t>
      </w:r>
      <w:r>
        <w:rPr>
          <w:rFonts w:hint="eastAsia" w:ascii="宋体" w:hAnsi="宋体" w:eastAsia="宋体" w:cs="宋体"/>
          <w:color w:val="000000" w:themeColor="text1"/>
          <w:sz w:val="24"/>
          <w:lang w:val="en-US" w:eastAsia="zh-CN"/>
          <w14:textFill>
            <w14:solidFill>
              <w14:schemeClr w14:val="tx1"/>
            </w14:solidFill>
          </w14:textFill>
        </w:rPr>
        <w:t>：Description（商品描述）</w:t>
      </w:r>
    </w:p>
    <w:p>
      <w:pPr>
        <w:pStyle w:val="3"/>
        <w:numPr>
          <w:ilvl w:val="0"/>
          <w:numId w:val="0"/>
        </w:numPr>
        <w:ind w:leftChars="0" w:firstLine="482" w:firstLineChars="200"/>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b/>
          <w:bCs/>
          <w:color w:val="000000" w:themeColor="text1"/>
          <w:sz w:val="24"/>
          <w:lang w:val="en-US" w:eastAsia="zh-CN"/>
          <w14:textFill>
            <w14:solidFill>
              <w14:schemeClr w14:val="tx1"/>
            </w14:solidFill>
          </w14:textFill>
        </w:rPr>
        <w:t>数据处理：</w:t>
      </w:r>
      <w:r>
        <w:rPr>
          <w:rFonts w:hint="eastAsia" w:ascii="宋体" w:hAnsi="宋体" w:eastAsia="宋体" w:cs="宋体"/>
          <w:color w:val="000000" w:themeColor="text1"/>
          <w:sz w:val="24"/>
          <w:lang w:val="en-US" w:eastAsia="zh-CN"/>
          <w14:textFill>
            <w14:solidFill>
              <w14:schemeClr w14:val="tx1"/>
            </w14:solidFill>
          </w14:textFill>
        </w:rPr>
        <w:t>提取商品描述文本，过滤停用词，统计词频生成词云</w:t>
      </w:r>
    </w:p>
    <w:p>
      <w:pPr>
        <w:pStyle w:val="3"/>
        <w:numPr>
          <w:ilvl w:val="0"/>
          <w:numId w:val="0"/>
        </w:numPr>
        <w:ind w:leftChars="0" w:firstLine="482" w:firstLineChars="200"/>
        <w:rPr>
          <w:rFonts w:hint="eastAsia" w:ascii="宋体" w:hAnsi="宋体" w:eastAsia="宋体" w:cs="宋体"/>
          <w:color w:val="000000" w:themeColor="text1"/>
          <w:sz w:val="24"/>
          <w:lang w:val="en-US" w:eastAsia="zh-CN"/>
          <w14:textFill>
            <w14:solidFill>
              <w14:schemeClr w14:val="tx1"/>
            </w14:solidFill>
          </w14:textFill>
        </w:rPr>
      </w:pPr>
      <w:r>
        <w:rPr>
          <w:rFonts w:hint="eastAsia" w:ascii="宋体" w:hAnsi="宋体" w:eastAsia="宋体" w:cs="宋体"/>
          <w:b/>
          <w:bCs/>
          <w:color w:val="000000" w:themeColor="text1"/>
          <w:sz w:val="24"/>
          <w:lang w:val="en-US" w:eastAsia="zh-CN"/>
          <w14:textFill>
            <w14:solidFill>
              <w14:schemeClr w14:val="tx1"/>
            </w14:solidFill>
          </w14:textFill>
        </w:rPr>
        <w:t>分析与总结</w:t>
      </w:r>
      <w:r>
        <w:rPr>
          <w:rFonts w:hint="eastAsia" w:ascii="宋体" w:hAnsi="宋体" w:eastAsia="宋体" w:cs="宋体"/>
          <w:color w:val="000000" w:themeColor="text1"/>
          <w:sz w:val="24"/>
          <w:lang w:val="en-US" w:eastAsia="zh-CN"/>
          <w14:textFill>
            <w14:solidFill>
              <w14:schemeClr w14:val="tx1"/>
            </w14:solidFill>
          </w14:textFill>
        </w:rPr>
        <w:t>：通过词云可视化分析发现"RED"、"RETROSPOT"、"HEART"、"BAG"等词汇出现频率显著高于其他词汇，这表明红色复古风格的心形包装袋是该电商平台最受欢迎的商品类型，反映了消费者对复古设计和情感表达类商品的强烈偏好。这一发现为商品开发、采购策略和库存管理提供了明确的方向指引，建议企</w:t>
      </w:r>
    </w:p>
    <w:p>
      <w:pPr>
        <w:bidi w:val="0"/>
        <w:jc w:val="left"/>
        <w:rPr>
          <w:rFonts w:hint="eastAsia" w:ascii="黑体" w:hAnsi="黑体" w:eastAsia="黑体" w:cs="黑体"/>
          <w:color w:val="000000" w:themeColor="text1"/>
          <w:sz w:val="24"/>
          <w:lang w:val="en-US" w:eastAsia="zh-CN"/>
          <w14:textFill>
            <w14:solidFill>
              <w14:schemeClr w14:val="tx1"/>
            </w14:solidFill>
          </w14:textFill>
        </w:rPr>
      </w:pPr>
      <w:r>
        <w:rPr>
          <w:rFonts w:hint="eastAsia" w:ascii="宋体" w:hAnsi="宋体" w:eastAsia="宋体" w:cs="宋体"/>
          <w:color w:val="000000" w:themeColor="text1"/>
          <w:sz w:val="24"/>
          <w:lang w:val="en-US" w:eastAsia="zh-CN"/>
          <w14:textFill>
            <w14:solidFill>
              <w14:schemeClr w14:val="tx1"/>
            </w14:solidFill>
          </w14:textFill>
        </w:rPr>
        <w:t>业可以进一步扩大此类商品的产品线，同时在其他商品设计中融入相似的设计</w:t>
      </w:r>
      <w:r>
        <w:rPr>
          <w:rFonts w:hint="eastAsia" w:hAnsi="宋体" w:cs="宋体"/>
          <w:color w:val="000000" w:themeColor="text1"/>
          <w:sz w:val="24"/>
          <w:lang w:val="en-US" w:eastAsia="zh-CN"/>
          <w14:textFill>
            <w14:solidFill>
              <w14:schemeClr w14:val="tx1"/>
            </w14:solidFill>
          </w14:textFill>
        </w:rPr>
        <w:t>。</w:t>
      </w:r>
      <w:r>
        <w:drawing>
          <wp:inline distT="0" distB="0" distL="114300" distR="114300">
            <wp:extent cx="5265420" cy="2843530"/>
            <wp:effectExtent l="0" t="0" r="508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5420" cy="2843530"/>
                    </a:xfrm>
                    <a:prstGeom prst="rect">
                      <a:avLst/>
                    </a:prstGeom>
                    <a:noFill/>
                    <a:ln>
                      <a:noFill/>
                    </a:ln>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61" w:name="_Toc24880"/>
      <w:bookmarkStart w:id="62" w:name="_Toc15725"/>
      <w:bookmarkStart w:id="63" w:name="_Toc17035"/>
      <w:bookmarkStart w:id="64" w:name="_Toc6155"/>
      <w:bookmarkStart w:id="65" w:name="_Toc4592"/>
      <w:bookmarkStart w:id="66" w:name="_Toc10573"/>
      <w:bookmarkStart w:id="67" w:name="_Toc16089"/>
      <w:r>
        <w:rPr>
          <w:rFonts w:hint="eastAsia" w:ascii="黑体" w:hAnsi="黑体" w:eastAsia="黑体" w:cs="黑体"/>
          <w:sz w:val="28"/>
          <w:szCs w:val="28"/>
          <w:lang w:val="en-US" w:eastAsia="zh-CN"/>
        </w:rPr>
        <w:t>3.2客户转化漏斗图</w:t>
      </w:r>
      <w:bookmarkEnd w:id="61"/>
      <w:bookmarkEnd w:id="62"/>
      <w:bookmarkEnd w:id="63"/>
      <w:bookmarkEnd w:id="64"/>
      <w:bookmarkEnd w:id="65"/>
      <w:bookmarkEnd w:id="66"/>
      <w:bookmarkEnd w:id="67"/>
    </w:p>
    <w:p>
      <w:pPr>
        <w:pStyle w:val="3"/>
        <w:numPr>
          <w:ilvl w:val="0"/>
          <w:numId w:val="0"/>
        </w:numPr>
        <w:tabs>
          <w:tab w:val="left" w:pos="862"/>
        </w:tabs>
        <w:ind w:firstLine="482" w:firstLineChars="200"/>
        <w:rPr>
          <w:rFonts w:hint="eastAsia"/>
          <w:lang w:val="en-US" w:eastAsia="zh-CN"/>
        </w:rPr>
      </w:pPr>
      <w:r>
        <w:rPr>
          <w:rFonts w:hint="eastAsia"/>
          <w:b/>
          <w:bCs/>
          <w:lang w:val="en-US" w:eastAsia="zh-CN"/>
        </w:rPr>
        <w:t>图表类型：</w:t>
      </w:r>
      <w:r>
        <w:rPr>
          <w:rFonts w:hint="eastAsia"/>
          <w:lang w:val="en-US" w:eastAsia="zh-CN"/>
        </w:rPr>
        <w:t>漏斗图</w:t>
      </w:r>
    </w:p>
    <w:p>
      <w:pPr>
        <w:pStyle w:val="3"/>
        <w:numPr>
          <w:ilvl w:val="0"/>
          <w:numId w:val="0"/>
        </w:numPr>
        <w:tabs>
          <w:tab w:val="left" w:pos="862"/>
        </w:tabs>
        <w:ind w:firstLine="482" w:firstLineChars="200"/>
        <w:rPr>
          <w:rFonts w:hint="eastAsia"/>
          <w:lang w:val="en-US" w:eastAsia="zh-CN"/>
        </w:rPr>
      </w:pPr>
      <w:r>
        <w:rPr>
          <w:rFonts w:hint="eastAsia"/>
          <w:b/>
          <w:bCs/>
          <w:lang w:val="en-US" w:eastAsia="zh-CN"/>
        </w:rPr>
        <w:t>核心字段：</w:t>
      </w:r>
      <w:r>
        <w:rPr>
          <w:rFonts w:hint="eastAsia"/>
          <w:lang w:val="en-US" w:eastAsia="zh-CN"/>
        </w:rPr>
        <w:t>CustomerID、TotalPrice、InvoiceNo</w:t>
      </w:r>
    </w:p>
    <w:p>
      <w:pPr>
        <w:pStyle w:val="3"/>
        <w:numPr>
          <w:ilvl w:val="0"/>
          <w:numId w:val="0"/>
        </w:numPr>
        <w:tabs>
          <w:tab w:val="left" w:pos="862"/>
        </w:tabs>
        <w:ind w:firstLine="482" w:firstLineChars="200"/>
        <w:rPr>
          <w:rFonts w:hint="eastAsia"/>
          <w:lang w:val="en-US" w:eastAsia="zh-CN"/>
        </w:rPr>
      </w:pPr>
      <w:r>
        <w:rPr>
          <w:rFonts w:hint="eastAsia"/>
          <w:b/>
          <w:bCs/>
          <w:lang w:val="en-US" w:eastAsia="zh-CN"/>
        </w:rPr>
        <w:t>数据处理：</w:t>
      </w:r>
      <w:r>
        <w:rPr>
          <w:rFonts w:hint="eastAsia"/>
          <w:lang w:val="en-US" w:eastAsia="zh-CN"/>
        </w:rPr>
        <w:t>按客户分组统计购买行为，构建总客户→活跃客户→复购客户→高价值客户的转化路径</w:t>
      </w:r>
    </w:p>
    <w:p>
      <w:pPr>
        <w:pStyle w:val="3"/>
        <w:numPr>
          <w:ilvl w:val="0"/>
          <w:numId w:val="0"/>
        </w:numPr>
        <w:tabs>
          <w:tab w:val="left" w:pos="862"/>
        </w:tabs>
        <w:ind w:leftChars="0" w:firstLine="482" w:firstLineChars="200"/>
        <w:rPr>
          <w:rFonts w:hint="eastAsia"/>
          <w:lang w:val="en-US" w:eastAsia="zh-CN"/>
        </w:rPr>
      </w:pPr>
      <w:r>
        <w:rPr>
          <w:rFonts w:hint="eastAsia"/>
          <w:b/>
          <w:bCs/>
          <w:lang w:val="en-US" w:eastAsia="zh-CN"/>
        </w:rPr>
        <w:t>分析与总结：</w:t>
      </w:r>
      <w:r>
        <w:rPr>
          <w:rFonts w:hint="eastAsia"/>
          <w:lang w:val="en-US" w:eastAsia="zh-CN"/>
        </w:rPr>
        <w:t>漏斗分析显示客户转化率呈现明显的逐级递减趋势，从初始的总客户数到最终的高价值客户转化率仅为2.3%，表明企业在客户留存和价值提升方面存在显著瓶颈。特别是从活跃客户到复购客户的转化环节流失最为严重，这可能与客户服务质量、产品满意度或竞争环境有关。建议企业优化客户体验流</w:t>
      </w:r>
    </w:p>
    <w:p>
      <w:pPr>
        <w:bidi w:val="0"/>
        <w:jc w:val="left"/>
        <w:rPr>
          <w:rFonts w:hint="eastAsia"/>
          <w:lang w:val="en-US" w:eastAsia="zh-CN"/>
        </w:rPr>
      </w:pPr>
      <w:r>
        <w:rPr>
          <w:rFonts w:hint="eastAsia"/>
          <w:lang w:val="en-US" w:eastAsia="zh-CN"/>
        </w:rPr>
        <w:t>程，实施差异化的复购激励策略，加强客户关系管理，以提高整体客户生命周期</w:t>
      </w:r>
      <w:r>
        <w:drawing>
          <wp:inline distT="0" distB="0" distL="114300" distR="114300">
            <wp:extent cx="5258435" cy="3764915"/>
            <wp:effectExtent l="0" t="0" r="1206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58435" cy="3764915"/>
                    </a:xfrm>
                    <a:prstGeom prst="rect">
                      <a:avLst/>
                    </a:prstGeom>
                    <a:noFill/>
                    <a:ln>
                      <a:noFill/>
                    </a:ln>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68" w:name="_Toc9545"/>
      <w:bookmarkStart w:id="69" w:name="_Toc25192"/>
      <w:bookmarkStart w:id="70" w:name="_Toc3075"/>
      <w:bookmarkStart w:id="71" w:name="_Toc15719"/>
      <w:bookmarkStart w:id="72" w:name="_Toc27710"/>
      <w:bookmarkStart w:id="73" w:name="_Toc15537"/>
      <w:bookmarkStart w:id="74" w:name="_Toc22551"/>
      <w:r>
        <w:rPr>
          <w:rFonts w:hint="eastAsia" w:ascii="黑体" w:hAnsi="黑体" w:eastAsia="黑体" w:cs="黑体"/>
          <w:sz w:val="28"/>
          <w:szCs w:val="28"/>
          <w:lang w:val="en-US" w:eastAsia="zh-CN"/>
        </w:rPr>
        <w:t>3.3国家销售气泡图</w:t>
      </w:r>
      <w:bookmarkEnd w:id="68"/>
      <w:bookmarkEnd w:id="69"/>
      <w:bookmarkEnd w:id="70"/>
      <w:bookmarkEnd w:id="71"/>
      <w:bookmarkEnd w:id="72"/>
      <w:bookmarkEnd w:id="73"/>
      <w:bookmarkEnd w:id="74"/>
    </w:p>
    <w:p>
      <w:pPr>
        <w:pStyle w:val="3"/>
        <w:numPr>
          <w:ilvl w:val="0"/>
          <w:numId w:val="0"/>
        </w:numPr>
        <w:ind w:leftChars="0" w:firstLine="482" w:firstLineChars="200"/>
        <w:rPr>
          <w:rFonts w:hint="eastAsia"/>
          <w:lang w:val="en-US" w:eastAsia="zh-CN"/>
        </w:rPr>
      </w:pPr>
      <w:r>
        <w:rPr>
          <w:rFonts w:hint="eastAsia"/>
          <w:b/>
          <w:bCs/>
          <w:lang w:val="en-US" w:eastAsia="zh-CN"/>
        </w:rPr>
        <w:t>图表类型：</w:t>
      </w:r>
      <w:r>
        <w:rPr>
          <w:rFonts w:hint="eastAsia"/>
          <w:lang w:val="en-US" w:eastAsia="zh-CN"/>
        </w:rPr>
        <w:t>气泡图</w:t>
      </w:r>
    </w:p>
    <w:p>
      <w:pPr>
        <w:pStyle w:val="3"/>
        <w:numPr>
          <w:ilvl w:val="0"/>
          <w:numId w:val="0"/>
        </w:numPr>
        <w:ind w:leftChars="0" w:firstLine="482" w:firstLineChars="200"/>
        <w:rPr>
          <w:rFonts w:hint="eastAsia"/>
          <w:lang w:val="en-US" w:eastAsia="zh-CN"/>
        </w:rPr>
      </w:pPr>
      <w:r>
        <w:rPr>
          <w:rFonts w:hint="eastAsia"/>
          <w:b/>
          <w:bCs/>
          <w:lang w:val="en-US" w:eastAsia="zh-CN"/>
        </w:rPr>
        <w:t>核心字段：</w:t>
      </w:r>
      <w:r>
        <w:rPr>
          <w:rFonts w:hint="eastAsia"/>
          <w:lang w:val="en-US" w:eastAsia="zh-CN"/>
        </w:rPr>
        <w:t>Country、CustomerID、UnitPrice、TotalPrice、Quantity</w:t>
      </w:r>
    </w:p>
    <w:p>
      <w:pPr>
        <w:pStyle w:val="3"/>
        <w:numPr>
          <w:ilvl w:val="0"/>
          <w:numId w:val="0"/>
        </w:numPr>
        <w:ind w:firstLine="482" w:firstLineChars="200"/>
        <w:rPr>
          <w:rFonts w:hint="eastAsia"/>
          <w:lang w:val="en-US" w:eastAsia="zh-CN"/>
        </w:rPr>
      </w:pPr>
      <w:r>
        <w:rPr>
          <w:rFonts w:hint="eastAsia"/>
          <w:b/>
          <w:bCs/>
          <w:lang w:val="en-US" w:eastAsia="zh-CN"/>
        </w:rPr>
        <w:t>数据处理：</w:t>
      </w:r>
      <w:r>
        <w:rPr>
          <w:rFonts w:hint="eastAsia"/>
          <w:lang w:val="en-US" w:eastAsia="zh-CN"/>
        </w:rPr>
        <w:t>按国家分组聚合客户数、平均单价、销售总额和销售数量</w:t>
      </w:r>
    </w:p>
    <w:p>
      <w:pPr>
        <w:pStyle w:val="3"/>
        <w:numPr>
          <w:ilvl w:val="0"/>
          <w:numId w:val="0"/>
        </w:numPr>
        <w:ind w:firstLine="482" w:firstLineChars="200"/>
        <w:rPr>
          <w:rFonts w:hint="eastAsia"/>
          <w:b w:val="0"/>
          <w:bCs w:val="0"/>
          <w:lang w:val="en-US" w:eastAsia="zh-CN"/>
        </w:rPr>
      </w:pPr>
      <w:r>
        <w:rPr>
          <w:rFonts w:hint="eastAsia"/>
          <w:b/>
          <w:bCs/>
          <w:lang w:val="en-US" w:eastAsia="zh-CN"/>
        </w:rPr>
        <w:t>分析与总结：</w:t>
      </w:r>
      <w:r>
        <w:rPr>
          <w:rFonts w:hint="eastAsia"/>
          <w:b w:val="0"/>
          <w:bCs w:val="0"/>
          <w:lang w:val="en-US" w:eastAsia="zh-CN"/>
        </w:rPr>
        <w:t>气泡图可视化清晰展示了英国市场在销售规模上的绝对主导地位，同时揭示了欧洲国家如法国、德国在客单价方面的优异表现。这种市场格局表明企业目前过度依赖英国市场，存在一定的市场集中风险，而欧洲市场虽然规模较小但具有较高的客户价值。建议企业在维持英国市场优势的同时，制定针对性的欧洲市场拓展策略，利用高客单价特点提升整体盈利能力。</w:t>
      </w:r>
    </w:p>
    <w:p>
      <w:pPr>
        <w:pStyle w:val="3"/>
        <w:numPr>
          <w:ilvl w:val="0"/>
          <w:numId w:val="0"/>
        </w:numPr>
        <w:ind w:firstLine="480" w:firstLineChars="200"/>
        <w:rPr>
          <w:rFonts w:hint="eastAsia"/>
          <w:b w:val="0"/>
          <w:bCs w:val="0"/>
          <w:lang w:val="en-US" w:eastAsia="zh-CN"/>
        </w:rPr>
      </w:pPr>
      <w:r>
        <w:drawing>
          <wp:inline distT="0" distB="0" distL="114300" distR="114300">
            <wp:extent cx="5274310" cy="2893060"/>
            <wp:effectExtent l="0" t="0" r="889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4310" cy="2893060"/>
                    </a:xfrm>
                    <a:prstGeom prst="rect">
                      <a:avLst/>
                    </a:prstGeom>
                    <a:noFill/>
                    <a:ln>
                      <a:noFill/>
                    </a:ln>
                  </pic:spPr>
                </pic:pic>
              </a:graphicData>
            </a:graphic>
          </wp:inline>
        </w:drawing>
      </w:r>
    </w:p>
    <w:p>
      <w:pPr>
        <w:pStyle w:val="3"/>
        <w:numPr>
          <w:ilvl w:val="0"/>
          <w:numId w:val="0"/>
        </w:numPr>
        <w:ind w:firstLine="480" w:firstLineChars="200"/>
        <w:rPr>
          <w:rFonts w:hint="eastAsia"/>
          <w:lang w:val="en-US" w:eastAsia="zh-CN"/>
        </w:rPr>
      </w:pP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75" w:name="_Toc17318"/>
      <w:bookmarkStart w:id="76" w:name="_Toc10264"/>
      <w:bookmarkStart w:id="77" w:name="_Toc7537"/>
      <w:bookmarkStart w:id="78" w:name="_Toc6493"/>
      <w:bookmarkStart w:id="79" w:name="_Toc30593"/>
      <w:bookmarkStart w:id="80" w:name="_Toc9675"/>
      <w:bookmarkStart w:id="81" w:name="_Toc6543"/>
      <w:r>
        <w:rPr>
          <w:rFonts w:hint="eastAsia" w:ascii="黑体" w:hAnsi="黑体" w:eastAsia="黑体" w:cs="黑体"/>
          <w:sz w:val="28"/>
          <w:szCs w:val="28"/>
          <w:lang w:val="en-US" w:eastAsia="zh-CN"/>
        </w:rPr>
        <w:t>3.4销售额分布饼图</w:t>
      </w:r>
      <w:bookmarkEnd w:id="75"/>
      <w:bookmarkEnd w:id="76"/>
      <w:bookmarkEnd w:id="77"/>
      <w:bookmarkEnd w:id="78"/>
      <w:bookmarkEnd w:id="79"/>
      <w:bookmarkEnd w:id="80"/>
      <w:bookmarkEnd w:id="81"/>
    </w:p>
    <w:p>
      <w:pPr>
        <w:pStyle w:val="3"/>
        <w:numPr>
          <w:ilvl w:val="0"/>
          <w:numId w:val="0"/>
        </w:numPr>
        <w:ind w:firstLine="482" w:firstLineChars="200"/>
        <w:rPr>
          <w:rFonts w:hint="eastAsia"/>
          <w:lang w:val="en-US" w:eastAsia="zh-CN"/>
        </w:rPr>
      </w:pPr>
      <w:r>
        <w:rPr>
          <w:rFonts w:hint="eastAsia"/>
          <w:b/>
          <w:bCs/>
          <w:lang w:val="en-US" w:eastAsia="zh-CN"/>
        </w:rPr>
        <w:t>图表类型：</w:t>
      </w:r>
      <w:r>
        <w:rPr>
          <w:rFonts w:hint="eastAsia"/>
          <w:lang w:val="en-US" w:eastAsia="zh-CN"/>
        </w:rPr>
        <w:t>饼图</w:t>
      </w:r>
    </w:p>
    <w:p>
      <w:pPr>
        <w:pStyle w:val="3"/>
        <w:numPr>
          <w:ilvl w:val="0"/>
          <w:numId w:val="0"/>
        </w:numPr>
        <w:ind w:leftChars="0" w:firstLine="482" w:firstLineChars="200"/>
        <w:rPr>
          <w:rFonts w:hint="eastAsia"/>
          <w:lang w:val="en-US" w:eastAsia="zh-CN"/>
        </w:rPr>
      </w:pPr>
      <w:r>
        <w:rPr>
          <w:rFonts w:hint="eastAsia"/>
          <w:b/>
          <w:bCs/>
          <w:lang w:val="en-US" w:eastAsia="zh-CN"/>
        </w:rPr>
        <w:t>核心字段：</w:t>
      </w:r>
      <w:r>
        <w:rPr>
          <w:rFonts w:hint="eastAsia"/>
          <w:lang w:val="en-US" w:eastAsia="zh-CN"/>
        </w:rPr>
        <w:t>Country、TotalPrice</w:t>
      </w:r>
    </w:p>
    <w:p>
      <w:pPr>
        <w:pStyle w:val="3"/>
        <w:numPr>
          <w:ilvl w:val="0"/>
          <w:numId w:val="0"/>
        </w:numPr>
        <w:ind w:leftChars="0" w:firstLine="482" w:firstLineChars="200"/>
        <w:rPr>
          <w:rFonts w:hint="eastAsia"/>
          <w:lang w:val="en-US" w:eastAsia="zh-CN"/>
        </w:rPr>
      </w:pPr>
      <w:r>
        <w:rPr>
          <w:rFonts w:hint="eastAsia"/>
          <w:b/>
          <w:bCs/>
          <w:lang w:val="en-US" w:eastAsia="zh-CN"/>
        </w:rPr>
        <w:t>数据处理：</w:t>
      </w:r>
      <w:r>
        <w:rPr>
          <w:rFonts w:hint="eastAsia"/>
          <w:lang w:val="en-US" w:eastAsia="zh-CN"/>
        </w:rPr>
        <w:t>计算各国销售额占比，筛选前8个国家进行展示</w:t>
      </w:r>
    </w:p>
    <w:p>
      <w:pPr>
        <w:pStyle w:val="3"/>
        <w:numPr>
          <w:ilvl w:val="0"/>
          <w:numId w:val="0"/>
        </w:numPr>
        <w:ind w:leftChars="0" w:firstLine="482" w:firstLineChars="200"/>
        <w:rPr>
          <w:rFonts w:hint="eastAsia"/>
          <w:b w:val="0"/>
          <w:bCs w:val="0"/>
          <w:lang w:val="en-US" w:eastAsia="zh-CN"/>
        </w:rPr>
      </w:pPr>
      <w:r>
        <w:rPr>
          <w:rFonts w:hint="eastAsia"/>
          <w:b/>
          <w:bCs/>
          <w:lang w:val="en-US" w:eastAsia="zh-CN"/>
        </w:rPr>
        <w:t>分析与总结：</w:t>
      </w:r>
      <w:r>
        <w:rPr>
          <w:rFonts w:hint="eastAsia"/>
          <w:b w:val="0"/>
          <w:bCs w:val="0"/>
          <w:lang w:val="en-US" w:eastAsia="zh-CN"/>
        </w:rPr>
        <w:t>饼图分析显示英国市场占据总销售额的82.4%，形成明显的单极市场格局，而德国、法国、爱尔兰等国家虽然位列前茅但占比相对较小。这种高度集中的市场分布虽然有利于运营效率，但也带来了较大的市场风险，一旦英国市场出现波动将直接影响整体业绩。建议企业制定市场多元化战略，逐步降低对单一市场的依赖度，同时深挖现有次级市场的增长潜力。</w:t>
      </w:r>
    </w:p>
    <w:p>
      <w:pPr>
        <w:pStyle w:val="3"/>
        <w:numPr>
          <w:ilvl w:val="0"/>
          <w:numId w:val="0"/>
        </w:numPr>
        <w:ind w:leftChars="0" w:firstLine="480" w:firstLineChars="200"/>
        <w:rPr>
          <w:rFonts w:hint="eastAsia"/>
          <w:b w:val="0"/>
          <w:bCs w:val="0"/>
          <w:lang w:val="en-US" w:eastAsia="zh-CN"/>
        </w:rPr>
      </w:pPr>
      <w:r>
        <w:rPr>
          <w:rFonts w:hint="eastAsia"/>
          <w:b w:val="0"/>
          <w:bCs w:val="0"/>
          <w:lang w:val="en-US" w:eastAsia="zh-CN"/>
        </w:rPr>
        <w:drawing>
          <wp:inline distT="0" distB="0" distL="114300" distR="114300">
            <wp:extent cx="5267960" cy="5591175"/>
            <wp:effectExtent l="0" t="0" r="2540" b="9525"/>
            <wp:docPr id="5" name="图片 5" descr="pi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e_plot"/>
                    <pic:cNvPicPr>
                      <a:picLocks noChangeAspect="1"/>
                    </pic:cNvPicPr>
                  </pic:nvPicPr>
                  <pic:blipFill>
                    <a:blip r:embed="rId9"/>
                    <a:stretch>
                      <a:fillRect/>
                    </a:stretch>
                  </pic:blipFill>
                  <pic:spPr>
                    <a:xfrm>
                      <a:off x="0" y="0"/>
                      <a:ext cx="5267960" cy="5591175"/>
                    </a:xfrm>
                    <a:prstGeom prst="rect">
                      <a:avLst/>
                    </a:prstGeom>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82" w:name="_Toc26436"/>
      <w:bookmarkStart w:id="83" w:name="_Toc29020"/>
      <w:bookmarkStart w:id="84" w:name="_Toc3351"/>
      <w:bookmarkStart w:id="85" w:name="_Toc10716"/>
      <w:bookmarkStart w:id="86" w:name="_Toc281"/>
      <w:bookmarkStart w:id="87" w:name="_Toc12540"/>
      <w:bookmarkStart w:id="88" w:name="_Toc21397"/>
      <w:r>
        <w:rPr>
          <w:rFonts w:hint="eastAsia" w:ascii="黑体" w:hAnsi="黑体" w:eastAsia="黑体" w:cs="黑体"/>
          <w:sz w:val="28"/>
          <w:szCs w:val="28"/>
          <w:lang w:val="en-US" w:eastAsia="zh-CN"/>
        </w:rPr>
        <w:t>3.5月度趋势柱形图</w:t>
      </w:r>
      <w:bookmarkEnd w:id="82"/>
      <w:bookmarkEnd w:id="83"/>
      <w:bookmarkEnd w:id="84"/>
      <w:bookmarkEnd w:id="85"/>
      <w:bookmarkEnd w:id="86"/>
      <w:bookmarkEnd w:id="87"/>
      <w:bookmarkEnd w:id="88"/>
    </w:p>
    <w:p>
      <w:pPr>
        <w:pStyle w:val="3"/>
        <w:numPr>
          <w:ilvl w:val="0"/>
          <w:numId w:val="0"/>
        </w:numPr>
        <w:ind w:leftChars="0" w:firstLine="482" w:firstLineChars="200"/>
        <w:rPr>
          <w:rFonts w:hint="eastAsia"/>
          <w:lang w:val="en-US" w:eastAsia="zh-CN"/>
        </w:rPr>
      </w:pPr>
      <w:r>
        <w:rPr>
          <w:rFonts w:hint="eastAsia"/>
          <w:b/>
          <w:bCs/>
          <w:lang w:val="en-US" w:eastAsia="zh-CN"/>
        </w:rPr>
        <w:t>图表类型：</w:t>
      </w:r>
      <w:r>
        <w:rPr>
          <w:rFonts w:hint="eastAsia"/>
          <w:lang w:val="en-US" w:eastAsia="zh-CN"/>
        </w:rPr>
        <w:t>柱形图</w:t>
      </w:r>
    </w:p>
    <w:p>
      <w:pPr>
        <w:pStyle w:val="3"/>
        <w:numPr>
          <w:ilvl w:val="0"/>
          <w:numId w:val="0"/>
        </w:numPr>
        <w:ind w:leftChars="0" w:firstLine="482" w:firstLineChars="200"/>
        <w:rPr>
          <w:rFonts w:hint="eastAsia"/>
          <w:lang w:val="en-US" w:eastAsia="zh-CN"/>
        </w:rPr>
      </w:pPr>
      <w:r>
        <w:rPr>
          <w:rFonts w:hint="eastAsia"/>
          <w:b/>
          <w:bCs/>
          <w:lang w:val="en-US" w:eastAsia="zh-CN"/>
        </w:rPr>
        <w:t>核心字段：</w:t>
      </w:r>
      <w:r>
        <w:rPr>
          <w:rFonts w:hint="eastAsia"/>
          <w:lang w:val="en-US" w:eastAsia="zh-CN"/>
        </w:rPr>
        <w:t>InvoiceDate、TotalPrice</w:t>
      </w:r>
    </w:p>
    <w:p>
      <w:pPr>
        <w:pStyle w:val="3"/>
        <w:numPr>
          <w:ilvl w:val="0"/>
          <w:numId w:val="0"/>
        </w:numPr>
        <w:ind w:leftChars="0" w:firstLine="480" w:firstLineChars="200"/>
        <w:rPr>
          <w:rFonts w:hint="eastAsia"/>
          <w:lang w:val="en-US" w:eastAsia="zh-CN"/>
        </w:rPr>
      </w:pPr>
      <w:r>
        <w:rPr>
          <w:rFonts w:hint="eastAsia"/>
          <w:lang w:val="en-US" w:eastAsia="zh-CN"/>
        </w:rPr>
        <w:t>数据处理：按月份分组汇总销售额数据，生成完整的时间序列，计算环比增长率和同比增长率</w:t>
      </w:r>
    </w:p>
    <w:p>
      <w:pPr>
        <w:pStyle w:val="3"/>
        <w:numPr>
          <w:ilvl w:val="0"/>
          <w:numId w:val="0"/>
        </w:numPr>
        <w:ind w:leftChars="0" w:firstLine="482" w:firstLineChars="200"/>
        <w:rPr>
          <w:rFonts w:hint="eastAsia"/>
          <w:lang w:val="en-US" w:eastAsia="zh-CN"/>
        </w:rPr>
      </w:pPr>
      <w:r>
        <w:rPr>
          <w:rFonts w:hint="eastAsia"/>
          <w:b/>
          <w:bCs/>
          <w:lang w:val="en-US" w:eastAsia="zh-CN"/>
        </w:rPr>
        <w:t>分析与总结：</w:t>
      </w:r>
      <w:r>
        <w:rPr>
          <w:rFonts w:hint="eastAsia"/>
          <w:lang w:val="en-US" w:eastAsia="zh-CN"/>
        </w:rPr>
        <w:t>月度销售趋势分析显示11月份因黑色星期五和圣诞购物季的影响达到全年销售峰值，而6-8月夏季期间销售额明显低迷，呈现典型的零售业季节性特征。这种周期性波动对企业的库存管理、现金流规划和营销资源分配提出了挑战。建议企业建立基于历史数据的销售预测模型，在淡季加大促销力度，优化全年的营销活动安排，以平衡季节性波动带来的影响。</w:t>
      </w:r>
    </w:p>
    <w:p>
      <w:pPr>
        <w:pStyle w:val="3"/>
        <w:numPr>
          <w:ilvl w:val="0"/>
          <w:numId w:val="0"/>
        </w:numPr>
        <w:ind w:leftChars="0" w:firstLine="480" w:firstLineChars="200"/>
        <w:rPr>
          <w:rFonts w:hint="eastAsia"/>
          <w:lang w:val="en-US" w:eastAsia="zh-CN"/>
        </w:rPr>
      </w:pPr>
      <w:r>
        <w:drawing>
          <wp:inline distT="0" distB="0" distL="114300" distR="114300">
            <wp:extent cx="5264785" cy="2898775"/>
            <wp:effectExtent l="0" t="0" r="5715"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264785" cy="2898775"/>
                    </a:xfrm>
                    <a:prstGeom prst="rect">
                      <a:avLst/>
                    </a:prstGeom>
                    <a:noFill/>
                    <a:ln>
                      <a:noFill/>
                    </a:ln>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89" w:name="_Toc29925"/>
      <w:bookmarkStart w:id="90" w:name="_Toc27780"/>
      <w:bookmarkStart w:id="91" w:name="_Toc13720"/>
      <w:bookmarkStart w:id="92" w:name="_Toc19810"/>
      <w:bookmarkStart w:id="93" w:name="_Toc10409"/>
      <w:bookmarkStart w:id="94" w:name="_Toc2646"/>
      <w:bookmarkStart w:id="95" w:name="_Toc24102"/>
      <w:r>
        <w:rPr>
          <w:rFonts w:hint="eastAsia" w:ascii="黑体" w:hAnsi="黑体" w:eastAsia="黑体" w:cs="黑体"/>
          <w:sz w:val="28"/>
          <w:szCs w:val="28"/>
          <w:lang w:val="en-US" w:eastAsia="zh-CN"/>
        </w:rPr>
        <w:t>3.6价格分布箱型图</w:t>
      </w:r>
      <w:bookmarkEnd w:id="89"/>
      <w:bookmarkEnd w:id="90"/>
      <w:bookmarkEnd w:id="91"/>
      <w:bookmarkEnd w:id="92"/>
      <w:bookmarkEnd w:id="93"/>
      <w:bookmarkEnd w:id="94"/>
      <w:bookmarkEnd w:id="95"/>
    </w:p>
    <w:p>
      <w:pPr>
        <w:pStyle w:val="3"/>
        <w:numPr>
          <w:ilvl w:val="0"/>
          <w:numId w:val="0"/>
        </w:numPr>
        <w:ind w:leftChars="0" w:firstLine="482" w:firstLineChars="200"/>
        <w:rPr>
          <w:rFonts w:hint="eastAsia"/>
          <w:lang w:val="en-US" w:eastAsia="zh-CN"/>
        </w:rPr>
      </w:pPr>
      <w:r>
        <w:rPr>
          <w:rFonts w:hint="eastAsia"/>
          <w:b/>
          <w:bCs/>
          <w:lang w:val="en-US" w:eastAsia="zh-CN"/>
        </w:rPr>
        <w:t>图表类型：</w:t>
      </w:r>
      <w:r>
        <w:rPr>
          <w:rFonts w:hint="eastAsia"/>
          <w:lang w:val="en-US" w:eastAsia="zh-CN"/>
        </w:rPr>
        <w:t>箱型图</w:t>
      </w:r>
    </w:p>
    <w:p>
      <w:pPr>
        <w:pStyle w:val="3"/>
        <w:numPr>
          <w:ilvl w:val="0"/>
          <w:numId w:val="0"/>
        </w:numPr>
        <w:ind w:leftChars="0" w:firstLine="482" w:firstLineChars="200"/>
        <w:rPr>
          <w:rFonts w:hint="eastAsia"/>
          <w:lang w:val="en-US" w:eastAsia="zh-CN"/>
        </w:rPr>
      </w:pPr>
      <w:r>
        <w:rPr>
          <w:rFonts w:hint="eastAsia"/>
          <w:b/>
          <w:bCs/>
          <w:lang w:val="en-US" w:eastAsia="zh-CN"/>
        </w:rPr>
        <w:t>核心字段：</w:t>
      </w:r>
      <w:r>
        <w:rPr>
          <w:rFonts w:hint="eastAsia"/>
          <w:lang w:val="en-US" w:eastAsia="zh-CN"/>
        </w:rPr>
        <w:t>Country、UnitPrice</w:t>
      </w:r>
    </w:p>
    <w:p>
      <w:pPr>
        <w:pStyle w:val="3"/>
        <w:numPr>
          <w:ilvl w:val="0"/>
          <w:numId w:val="0"/>
        </w:numPr>
        <w:ind w:leftChars="0" w:firstLine="482" w:firstLineChars="200"/>
        <w:rPr>
          <w:rFonts w:hint="eastAsia"/>
          <w:lang w:val="en-US" w:eastAsia="zh-CN"/>
        </w:rPr>
      </w:pPr>
      <w:r>
        <w:rPr>
          <w:rFonts w:hint="eastAsia"/>
          <w:b/>
          <w:bCs/>
          <w:lang w:val="en-US" w:eastAsia="zh-CN"/>
        </w:rPr>
        <w:t>数据处理：</w:t>
      </w:r>
      <w:r>
        <w:rPr>
          <w:rFonts w:hint="eastAsia"/>
          <w:lang w:val="en-US" w:eastAsia="zh-CN"/>
        </w:rPr>
        <w:t>按国家分组分析商品价格分布特征，运用四分位距方法识别异常值，进行对数变换以更好地展示价格分布</w:t>
      </w:r>
    </w:p>
    <w:p>
      <w:pPr>
        <w:pStyle w:val="3"/>
        <w:numPr>
          <w:ilvl w:val="0"/>
          <w:numId w:val="0"/>
        </w:numPr>
        <w:ind w:leftChars="0" w:firstLine="482" w:firstLineChars="200"/>
        <w:rPr>
          <w:rFonts w:hint="eastAsia"/>
          <w:lang w:val="en-US" w:eastAsia="zh-CN"/>
        </w:rPr>
      </w:pPr>
      <w:r>
        <w:rPr>
          <w:rFonts w:hint="eastAsia"/>
          <w:b/>
          <w:bCs/>
          <w:lang w:val="en-US" w:eastAsia="zh-CN"/>
        </w:rPr>
        <w:t>分析与总结：</w:t>
      </w:r>
      <w:r>
        <w:rPr>
          <w:rFonts w:hint="eastAsia"/>
          <w:lang w:val="en-US" w:eastAsia="zh-CN"/>
        </w:rPr>
        <w:t>箱型图深度分析揭示英国市场的商品价格离散度最大，价格区间分布广泛，从低价商品到高端商品均有覆盖；而其他国家的价格分布相对集中，主要集中在中等价格区间。这表明企业在不同市场采取了差异化的定价策略，英国市场追求全品类覆盖，而其他市场则更加聚焦。建议企业评估各市场价格策略的有效性，优化商品组合和定价结构，提升整体价格竞争力。</w:t>
      </w:r>
    </w:p>
    <w:p>
      <w:pPr>
        <w:pStyle w:val="3"/>
        <w:numPr>
          <w:ilvl w:val="0"/>
          <w:numId w:val="0"/>
        </w:numPr>
        <w:ind w:leftChars="0"/>
        <w:rPr>
          <w:rFonts w:hint="eastAsia"/>
          <w:lang w:val="en-US" w:eastAsia="zh-CN"/>
        </w:rPr>
      </w:pPr>
      <w:r>
        <w:rPr>
          <w:rFonts w:hint="eastAsia"/>
          <w:lang w:val="en-US" w:eastAsia="zh-CN"/>
        </w:rPr>
        <w:drawing>
          <wp:inline distT="0" distB="0" distL="114300" distR="114300">
            <wp:extent cx="5257165" cy="4168775"/>
            <wp:effectExtent l="0" t="0" r="635" b="9525"/>
            <wp:docPr id="7" name="图片 7" descr="box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ox_plot"/>
                    <pic:cNvPicPr>
                      <a:picLocks noChangeAspect="1"/>
                    </pic:cNvPicPr>
                  </pic:nvPicPr>
                  <pic:blipFill>
                    <a:blip r:embed="rId11"/>
                    <a:stretch>
                      <a:fillRect/>
                    </a:stretch>
                  </pic:blipFill>
                  <pic:spPr>
                    <a:xfrm>
                      <a:off x="0" y="0"/>
                      <a:ext cx="5257165" cy="4168775"/>
                    </a:xfrm>
                    <a:prstGeom prst="rect">
                      <a:avLst/>
                    </a:prstGeom>
                  </pic:spPr>
                </pic:pic>
              </a:graphicData>
            </a:graphic>
          </wp:inline>
        </w:drawing>
      </w:r>
    </w:p>
    <w:p>
      <w:pPr>
        <w:pStyle w:val="3"/>
        <w:numPr>
          <w:ilvl w:val="0"/>
          <w:numId w:val="0"/>
        </w:numPr>
        <w:ind w:leftChars="0"/>
        <w:rPr>
          <w:rFonts w:hint="eastAsia"/>
          <w:lang w:val="en-US" w:eastAsia="zh-CN"/>
        </w:rPr>
      </w:pP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96" w:name="_Toc3642"/>
      <w:bookmarkStart w:id="97" w:name="_Toc21414"/>
      <w:bookmarkStart w:id="98" w:name="_Toc1519"/>
      <w:bookmarkStart w:id="99" w:name="_Toc18169"/>
      <w:bookmarkStart w:id="100" w:name="_Toc27154"/>
      <w:bookmarkStart w:id="101" w:name="_Toc17352"/>
      <w:bookmarkStart w:id="102" w:name="_Toc25136"/>
      <w:r>
        <w:rPr>
          <w:rFonts w:hint="eastAsia" w:ascii="黑体" w:hAnsi="黑体" w:eastAsia="黑体" w:cs="黑体"/>
          <w:sz w:val="28"/>
          <w:szCs w:val="28"/>
          <w:lang w:val="en-US" w:eastAsia="zh-CN"/>
        </w:rPr>
        <w:t>3.7业务指标仪表盘</w:t>
      </w:r>
      <w:bookmarkEnd w:id="96"/>
      <w:bookmarkEnd w:id="97"/>
      <w:bookmarkEnd w:id="98"/>
      <w:bookmarkEnd w:id="99"/>
      <w:bookmarkEnd w:id="100"/>
      <w:bookmarkEnd w:id="101"/>
      <w:bookmarkEnd w:id="102"/>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图表类型：</w:t>
      </w:r>
      <w:r>
        <w:rPr>
          <w:rFonts w:hint="eastAsia"/>
          <w:lang w:val="en-US" w:eastAsia="zh-CN"/>
        </w:rPr>
        <w:t>仪表盘</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i w:val="0"/>
          <w:iCs w:val="0"/>
          <w:lang w:val="en-US" w:eastAsia="zh-CN"/>
        </w:rPr>
        <w:t>核心字段：</w:t>
      </w:r>
      <w:r>
        <w:rPr>
          <w:rFonts w:hint="eastAsia"/>
          <w:lang w:val="en-US" w:eastAsia="zh-CN"/>
        </w:rPr>
        <w:t>TotalPrice、CustomerID、StockCode</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数据处理：</w:t>
      </w:r>
      <w:r>
        <w:rPr>
          <w:rFonts w:hint="eastAsia"/>
          <w:lang w:val="en-US" w:eastAsia="zh-CN"/>
        </w:rPr>
        <w:t>计算销售额、客户数量、商品种类数和客单价四个核心业务指标，设定合理的目标值并计算完成率</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分析与总结：</w:t>
      </w:r>
      <w:r>
        <w:rPr>
          <w:rFonts w:hint="eastAsia"/>
          <w:lang w:val="en-US" w:eastAsia="zh-CN"/>
        </w:rPr>
        <w:t>多指标仪表盘监控显示销售额完成率达到89.1%，表现良好但仍有提升空间；客单价指标完成率最高，表明客户价值挖掘较为充分；客户数量和商品种类数完成率相对较低，反映了企业在市场拓展和产品多样性方面的不足。建议企业在保持客单价优势的同时，加大市场开发力度，丰富商品品类，实现更加均衡的业务发展。</w:t>
      </w:r>
    </w:p>
    <w:p>
      <w:pPr>
        <w:pStyle w:val="3"/>
        <w:widowControl/>
        <w:numPr>
          <w:ilvl w:val="0"/>
          <w:numId w:val="0"/>
        </w:numPr>
        <w:snapToGrid w:val="0"/>
        <w:spacing w:line="300" w:lineRule="auto"/>
        <w:jc w:val="both"/>
        <w:rPr>
          <w:rFonts w:hint="eastAsia"/>
          <w:lang w:val="en-US" w:eastAsia="zh-CN"/>
        </w:rPr>
      </w:pPr>
      <w:r>
        <w:drawing>
          <wp:inline distT="0" distB="0" distL="114300" distR="114300">
            <wp:extent cx="5265420" cy="2985135"/>
            <wp:effectExtent l="0" t="0" r="5080" b="1206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5265420" cy="2985135"/>
                    </a:xfrm>
                    <a:prstGeom prst="rect">
                      <a:avLst/>
                    </a:prstGeom>
                    <a:noFill/>
                    <a:ln>
                      <a:noFill/>
                    </a:ln>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spacing w:line="300" w:lineRule="auto"/>
        <w:jc w:val="both"/>
        <w:textAlignment w:val="auto"/>
        <w:outlineLvl w:val="1"/>
        <w:rPr>
          <w:rFonts w:hint="eastAsia" w:ascii="黑体" w:hAnsi="黑体" w:eastAsia="黑体" w:cs="黑体"/>
          <w:sz w:val="28"/>
          <w:szCs w:val="28"/>
          <w:lang w:val="en-US" w:eastAsia="zh-CN"/>
        </w:rPr>
      </w:pP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103" w:name="_Toc7863"/>
      <w:bookmarkStart w:id="104" w:name="_Toc32676"/>
      <w:bookmarkStart w:id="105" w:name="_Toc26885"/>
      <w:bookmarkStart w:id="106" w:name="_Toc18796"/>
      <w:bookmarkStart w:id="107" w:name="_Toc28892"/>
      <w:bookmarkStart w:id="108" w:name="_Toc12458"/>
      <w:bookmarkStart w:id="109" w:name="_Toc370"/>
      <w:r>
        <w:rPr>
          <w:rFonts w:hint="eastAsia" w:ascii="黑体" w:hAnsi="黑体" w:eastAsia="黑体" w:cs="黑体"/>
          <w:sz w:val="28"/>
          <w:szCs w:val="28"/>
          <w:lang w:val="en-US" w:eastAsia="zh-CN"/>
        </w:rPr>
        <w:t>3.8日销售折线图</w:t>
      </w:r>
      <w:bookmarkEnd w:id="103"/>
      <w:bookmarkEnd w:id="104"/>
      <w:bookmarkEnd w:id="105"/>
      <w:bookmarkEnd w:id="106"/>
      <w:bookmarkEnd w:id="107"/>
      <w:bookmarkEnd w:id="108"/>
      <w:bookmarkEnd w:id="109"/>
    </w:p>
    <w:p>
      <w:pPr>
        <w:pStyle w:val="3"/>
        <w:numPr>
          <w:ilvl w:val="0"/>
          <w:numId w:val="0"/>
        </w:numPr>
        <w:ind w:leftChars="0" w:firstLine="482" w:firstLineChars="200"/>
        <w:rPr>
          <w:rFonts w:hint="eastAsia"/>
          <w:lang w:val="en-US" w:eastAsia="zh-CN"/>
        </w:rPr>
      </w:pPr>
      <w:r>
        <w:rPr>
          <w:rFonts w:hint="eastAsia"/>
          <w:b/>
          <w:bCs/>
          <w:lang w:val="en-US" w:eastAsia="zh-CN"/>
        </w:rPr>
        <w:t>图表类型：</w:t>
      </w:r>
      <w:r>
        <w:rPr>
          <w:rFonts w:hint="eastAsia"/>
          <w:lang w:val="en-US" w:eastAsia="zh-CN"/>
        </w:rPr>
        <w:t>折线图</w:t>
      </w:r>
    </w:p>
    <w:p>
      <w:pPr>
        <w:pStyle w:val="3"/>
        <w:numPr>
          <w:ilvl w:val="0"/>
          <w:numId w:val="0"/>
        </w:numPr>
        <w:ind w:firstLine="482" w:firstLineChars="200"/>
        <w:rPr>
          <w:rFonts w:hint="eastAsia"/>
          <w:lang w:val="en-US" w:eastAsia="zh-CN"/>
        </w:rPr>
      </w:pPr>
      <w:r>
        <w:rPr>
          <w:rFonts w:hint="eastAsia"/>
          <w:b/>
          <w:bCs/>
          <w:lang w:val="en-US" w:eastAsia="zh-CN"/>
        </w:rPr>
        <w:t>核心字段：</w:t>
      </w:r>
      <w:r>
        <w:rPr>
          <w:rFonts w:hint="eastAsia"/>
          <w:lang w:val="en-US" w:eastAsia="zh-CN"/>
        </w:rPr>
        <w:t>InvoiceDate、TotalPrice</w:t>
      </w:r>
    </w:p>
    <w:p>
      <w:pPr>
        <w:pStyle w:val="3"/>
        <w:numPr>
          <w:ilvl w:val="0"/>
          <w:numId w:val="0"/>
        </w:numPr>
        <w:ind w:leftChars="0" w:firstLine="482" w:firstLineChars="200"/>
        <w:rPr>
          <w:rFonts w:hint="eastAsia"/>
          <w:lang w:val="en-US" w:eastAsia="zh-CN"/>
        </w:rPr>
      </w:pPr>
      <w:r>
        <w:rPr>
          <w:rFonts w:hint="eastAsia"/>
          <w:b/>
          <w:bCs/>
          <w:lang w:val="en-US" w:eastAsia="zh-CN"/>
        </w:rPr>
        <w:t>数据处理：</w:t>
      </w:r>
      <w:r>
        <w:rPr>
          <w:rFonts w:hint="eastAsia"/>
          <w:lang w:val="en-US" w:eastAsia="zh-CN"/>
        </w:rPr>
        <w:t>按日期分组计算日销售额，构建连续的时间序列数据，识别异常波动点和趋势变化点</w:t>
      </w:r>
    </w:p>
    <w:p>
      <w:pPr>
        <w:pStyle w:val="3"/>
        <w:numPr>
          <w:ilvl w:val="0"/>
          <w:numId w:val="0"/>
        </w:numPr>
        <w:ind w:leftChars="0" w:firstLine="482" w:firstLineChars="200"/>
        <w:rPr>
          <w:rFonts w:hint="eastAsia"/>
          <w:lang w:val="en-US" w:eastAsia="zh-CN"/>
        </w:rPr>
      </w:pPr>
      <w:r>
        <w:rPr>
          <w:rFonts w:hint="eastAsia"/>
          <w:b/>
          <w:bCs/>
          <w:lang w:val="en-US" w:eastAsia="zh-CN"/>
        </w:rPr>
        <w:t>分析与总结：</w:t>
      </w:r>
      <w:r>
        <w:rPr>
          <w:rFonts w:hint="eastAsia"/>
          <w:lang w:val="en-US" w:eastAsia="zh-CN"/>
        </w:rPr>
        <w:t>日销售趋势分析显示销售额存在明显的波动特征，识别出多个销售高峰节点和相对低迷期，这些波动与促销活动、节假日因素和季节性需求密切相关。通过对比不同时间段的销售表现，可以发现某些特定日期（如发薪日、节假日前后）具有较高的销售潜力。建议企业基于这些发现优化促销活动排期，在销售低谷期策划针对性的营销活动，实现销售表现的平稳化。</w:t>
      </w:r>
    </w:p>
    <w:p>
      <w:pPr>
        <w:pStyle w:val="3"/>
        <w:numPr>
          <w:ilvl w:val="0"/>
          <w:numId w:val="0"/>
        </w:numPr>
        <w:ind w:leftChars="0" w:firstLine="480" w:firstLineChars="200"/>
        <w:rPr>
          <w:rFonts w:hint="eastAsia"/>
          <w:lang w:val="en-US" w:eastAsia="zh-CN"/>
        </w:rPr>
      </w:pPr>
      <w:r>
        <w:drawing>
          <wp:inline distT="0" distB="0" distL="114300" distR="114300">
            <wp:extent cx="5255260" cy="2842260"/>
            <wp:effectExtent l="0" t="0" r="2540" b="254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3"/>
                    <a:stretch>
                      <a:fillRect/>
                    </a:stretch>
                  </pic:blipFill>
                  <pic:spPr>
                    <a:xfrm>
                      <a:off x="0" y="0"/>
                      <a:ext cx="5255260" cy="2842260"/>
                    </a:xfrm>
                    <a:prstGeom prst="rect">
                      <a:avLst/>
                    </a:prstGeom>
                    <a:noFill/>
                    <a:ln>
                      <a:noFill/>
                    </a:ln>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110" w:name="_Toc17316"/>
      <w:bookmarkStart w:id="111" w:name="_Toc27614"/>
      <w:bookmarkStart w:id="112" w:name="_Toc31839"/>
      <w:bookmarkStart w:id="113" w:name="_Toc7289"/>
      <w:bookmarkStart w:id="114" w:name="_Toc7166"/>
      <w:bookmarkStart w:id="115" w:name="_Toc21324"/>
      <w:bookmarkStart w:id="116" w:name="_Toc15606"/>
      <w:r>
        <w:rPr>
          <w:rFonts w:hint="eastAsia" w:ascii="黑体" w:hAnsi="黑体" w:eastAsia="黑体" w:cs="黑体"/>
          <w:sz w:val="28"/>
          <w:szCs w:val="28"/>
          <w:lang w:val="en-US" w:eastAsia="zh-CN"/>
        </w:rPr>
        <w:t>3.9客户价值散点图</w:t>
      </w:r>
      <w:bookmarkEnd w:id="110"/>
      <w:bookmarkEnd w:id="111"/>
      <w:bookmarkEnd w:id="112"/>
      <w:bookmarkEnd w:id="113"/>
      <w:bookmarkEnd w:id="114"/>
      <w:bookmarkEnd w:id="115"/>
      <w:bookmarkEnd w:id="116"/>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图表类型：</w:t>
      </w:r>
      <w:r>
        <w:rPr>
          <w:rFonts w:hint="eastAsia"/>
          <w:lang w:val="en-US" w:eastAsia="zh-CN"/>
        </w:rPr>
        <w:t>散点图</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核心字段：</w:t>
      </w:r>
      <w:r>
        <w:rPr>
          <w:rFonts w:hint="eastAsia"/>
          <w:lang w:val="en-US" w:eastAsia="zh-CN"/>
        </w:rPr>
        <w:t>CustomerID、TotalPrice、InvoiceNo、Quantity</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数据处理：</w:t>
      </w:r>
      <w:r>
        <w:rPr>
          <w:rFonts w:hint="eastAsia"/>
          <w:lang w:val="en-US" w:eastAsia="zh-CN"/>
        </w:rPr>
        <w:t>按客户唯一标识聚合购买行为数据，包括购买次数、总消费金额和购买商品数量，构建客户价值矩阵</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分析与总结：</w:t>
      </w:r>
      <w:r>
        <w:rPr>
          <w:rFonts w:hint="eastAsia"/>
          <w:lang w:val="en-US" w:eastAsia="zh-CN"/>
        </w:rPr>
        <w:t>客户价值散点图清晰展示了客户群体的分层结构，少数高价值客户集中在图表右上角，贡献了大部分收入，而大量低价值客户分布在左下角。这种分布符合经典的二八法则，但也反映了企业在客户价值提升方面的挑战。建议企业实施客户分级管理体系，为高价值客户提供专属服务，同时通过交叉销售和升级销售策略提升中低价值客户的贡献度。</w:t>
      </w:r>
    </w:p>
    <w:p>
      <w:pPr>
        <w:pStyle w:val="3"/>
        <w:widowControl/>
        <w:numPr>
          <w:ilvl w:val="0"/>
          <w:numId w:val="0"/>
        </w:numPr>
        <w:snapToGrid w:val="0"/>
        <w:spacing w:line="300" w:lineRule="auto"/>
        <w:ind w:firstLine="480" w:firstLineChars="200"/>
        <w:jc w:val="both"/>
        <w:rPr>
          <w:rFonts w:hint="eastAsia"/>
          <w:lang w:val="en-US" w:eastAsia="zh-CN"/>
        </w:rPr>
      </w:pPr>
      <w:r>
        <w:drawing>
          <wp:inline distT="0" distB="0" distL="114300" distR="114300">
            <wp:extent cx="5272405" cy="2916555"/>
            <wp:effectExtent l="0" t="0" r="10795" b="444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4"/>
                    <a:stretch>
                      <a:fillRect/>
                    </a:stretch>
                  </pic:blipFill>
                  <pic:spPr>
                    <a:xfrm>
                      <a:off x="0" y="0"/>
                      <a:ext cx="5272405" cy="2916555"/>
                    </a:xfrm>
                    <a:prstGeom prst="rect">
                      <a:avLst/>
                    </a:prstGeom>
                    <a:noFill/>
                    <a:ln>
                      <a:noFill/>
                    </a:ln>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117" w:name="_Toc26627"/>
      <w:bookmarkStart w:id="118" w:name="_Toc18502"/>
      <w:bookmarkStart w:id="119" w:name="_Toc13638"/>
      <w:bookmarkStart w:id="120" w:name="_Toc2479"/>
      <w:bookmarkStart w:id="121" w:name="_Toc1205"/>
      <w:bookmarkStart w:id="122" w:name="_Toc2080"/>
      <w:bookmarkStart w:id="123" w:name="_Toc24791"/>
      <w:r>
        <w:rPr>
          <w:rFonts w:hint="eastAsia" w:ascii="黑体" w:hAnsi="黑体" w:eastAsia="黑体" w:cs="黑体"/>
          <w:sz w:val="28"/>
          <w:szCs w:val="28"/>
          <w:lang w:val="en-US" w:eastAsia="zh-CN"/>
        </w:rPr>
        <w:t>3.10时间分布热力图</w:t>
      </w:r>
      <w:bookmarkEnd w:id="117"/>
      <w:bookmarkEnd w:id="118"/>
      <w:bookmarkEnd w:id="119"/>
      <w:bookmarkEnd w:id="120"/>
      <w:bookmarkEnd w:id="121"/>
      <w:bookmarkEnd w:id="122"/>
      <w:bookmarkEnd w:id="123"/>
    </w:p>
    <w:p>
      <w:pPr>
        <w:pStyle w:val="3"/>
        <w:widowControl/>
        <w:numPr>
          <w:ilvl w:val="0"/>
          <w:numId w:val="0"/>
        </w:numPr>
        <w:snapToGrid w:val="0"/>
        <w:spacing w:line="300" w:lineRule="auto"/>
        <w:jc w:val="both"/>
        <w:rPr>
          <w:rFonts w:hint="eastAsia"/>
          <w:lang w:val="en-US" w:eastAsia="zh-CN"/>
        </w:rPr>
      </w:pPr>
      <w:r>
        <w:rPr>
          <w:rFonts w:hint="eastAsia"/>
          <w:lang w:val="en-US" w:eastAsia="zh-CN"/>
        </w:rPr>
        <w:t xml:space="preserve">   </w:t>
      </w:r>
      <w:r>
        <w:rPr>
          <w:rFonts w:hint="eastAsia"/>
          <w:b/>
          <w:bCs/>
          <w:lang w:val="en-US" w:eastAsia="zh-CN"/>
        </w:rPr>
        <w:t xml:space="preserve"> 图表类型：</w:t>
      </w:r>
      <w:r>
        <w:rPr>
          <w:rFonts w:hint="eastAsia"/>
          <w:lang w:val="en-US" w:eastAsia="zh-CN"/>
        </w:rPr>
        <w:t>热力图</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核心字段</w:t>
      </w:r>
      <w:r>
        <w:rPr>
          <w:rFonts w:hint="eastAsia"/>
          <w:lang w:val="en-US" w:eastAsia="zh-CN"/>
        </w:rPr>
        <w:t>：InvoiceDate、TotalPrice</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数据处理：</w:t>
      </w:r>
      <w:r>
        <w:rPr>
          <w:rFonts w:hint="eastAsia"/>
          <w:lang w:val="en-US" w:eastAsia="zh-CN"/>
        </w:rPr>
        <w:t>从交易时间戳中提取小时和星期信息，构建星期-小时的二维销售矩阵，计算每个时间单元的销售强度</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分析与总结</w:t>
      </w:r>
      <w:r>
        <w:rPr>
          <w:rFonts w:hint="eastAsia"/>
          <w:lang w:val="en-US" w:eastAsia="zh-CN"/>
        </w:rPr>
        <w:t>：时间分布热力图清晰揭示了用户购买行为的时间偏好，工作日白天时段（特别是周二至周四的上午10点至下午4点）呈现明显的销售高峰，而周末和夜间时段销售相对平缓。这种时间分布模式反映了用户主要在工作和学习间隙进行在线购物的习惯。建议企业根据这一发现优化客服资源分配，在高峰时段确保充足的客服支持，同时在低峰时段策划针对性的营销活动以刺激需求。</w:t>
      </w:r>
    </w:p>
    <w:p>
      <w:pPr>
        <w:pStyle w:val="3"/>
        <w:widowControl/>
        <w:numPr>
          <w:ilvl w:val="0"/>
          <w:numId w:val="0"/>
        </w:numPr>
        <w:snapToGrid w:val="0"/>
        <w:spacing w:line="300" w:lineRule="auto"/>
        <w:ind w:firstLine="480" w:firstLineChars="200"/>
        <w:jc w:val="both"/>
        <w:rPr>
          <w:rFonts w:hint="default"/>
          <w:lang w:val="en-US" w:eastAsia="zh-CN"/>
        </w:rPr>
      </w:pPr>
      <w:r>
        <w:rPr>
          <w:rFonts w:hint="default"/>
          <w:lang w:val="en-US" w:eastAsia="zh-CN"/>
        </w:rPr>
        <w:drawing>
          <wp:inline distT="0" distB="0" distL="114300" distR="114300">
            <wp:extent cx="5271135" cy="3538220"/>
            <wp:effectExtent l="0" t="0" r="12065" b="5080"/>
            <wp:docPr id="11" name="图片 11" descr="heatmap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eatmap_plot"/>
                    <pic:cNvPicPr>
                      <a:picLocks noChangeAspect="1"/>
                    </pic:cNvPicPr>
                  </pic:nvPicPr>
                  <pic:blipFill>
                    <a:blip r:embed="rId15"/>
                    <a:stretch>
                      <a:fillRect/>
                    </a:stretch>
                  </pic:blipFill>
                  <pic:spPr>
                    <a:xfrm>
                      <a:off x="0" y="0"/>
                      <a:ext cx="5271135" cy="3538220"/>
                    </a:xfrm>
                    <a:prstGeom prst="rect">
                      <a:avLst/>
                    </a:prstGeom>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124" w:name="_Toc27221"/>
      <w:bookmarkStart w:id="125" w:name="_Toc24227"/>
      <w:bookmarkStart w:id="126" w:name="_Toc1552"/>
      <w:bookmarkStart w:id="127" w:name="_Toc6170"/>
      <w:bookmarkStart w:id="128" w:name="_Toc8173"/>
      <w:bookmarkStart w:id="129" w:name="_Toc2093"/>
      <w:bookmarkStart w:id="130" w:name="_Toc14021"/>
      <w:r>
        <w:rPr>
          <w:rFonts w:hint="eastAsia" w:ascii="黑体" w:hAnsi="黑体" w:eastAsia="黑体" w:cs="黑体"/>
          <w:sz w:val="28"/>
          <w:szCs w:val="28"/>
          <w:lang w:val="en-US" w:eastAsia="zh-CN"/>
        </w:rPr>
        <w:t>3.11多维度对比雷达图</w:t>
      </w:r>
      <w:bookmarkEnd w:id="124"/>
      <w:bookmarkEnd w:id="125"/>
      <w:bookmarkEnd w:id="126"/>
      <w:bookmarkEnd w:id="127"/>
      <w:bookmarkEnd w:id="128"/>
      <w:bookmarkEnd w:id="129"/>
      <w:bookmarkEnd w:id="130"/>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图表类型：</w:t>
      </w:r>
      <w:r>
        <w:rPr>
          <w:rFonts w:hint="eastAsia"/>
          <w:lang w:val="en-US" w:eastAsia="zh-CN"/>
        </w:rPr>
        <w:t>雷达图</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核心字段</w:t>
      </w:r>
      <w:r>
        <w:rPr>
          <w:rFonts w:hint="eastAsia"/>
          <w:lang w:val="en-US" w:eastAsia="zh-CN"/>
        </w:rPr>
        <w:t>：Country、TotalPrice、Quantity、UnitPrice、CustomerID、InvoiceNo</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数据处理：</w:t>
      </w:r>
      <w:r>
        <w:rPr>
          <w:rFonts w:hint="eastAsia"/>
          <w:lang w:val="en-US" w:eastAsia="zh-CN"/>
        </w:rPr>
        <w:t>选择主要销售国家，对销售额、销售量、客单价、客户数量、订单数量等多个指标进行标准化处理，构建多维对比雷达图</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分析与总结</w:t>
      </w:r>
      <w:r>
        <w:rPr>
          <w:rFonts w:hint="eastAsia"/>
          <w:lang w:val="en-US" w:eastAsia="zh-CN"/>
        </w:rPr>
        <w:t>：雷达图多维度对比显示英国在市场规模的各个指标上全面领先，形成完整的优势图谱；而其他国家在不同维度上各具特色，如荷兰在客单价方面表现突出，德国在客户数量上具有一定优势。这种多维度分析为企业制定差异化的区域市场策略提供了深刻洞察，建议针对不同市场的特点采取定制化的业务发展策略，最大化各市场的增长潜力。</w:t>
      </w:r>
    </w:p>
    <w:p>
      <w:pPr>
        <w:pStyle w:val="3"/>
        <w:widowControl/>
        <w:numPr>
          <w:ilvl w:val="0"/>
          <w:numId w:val="0"/>
        </w:numPr>
        <w:snapToGrid w:val="0"/>
        <w:spacing w:line="300" w:lineRule="auto"/>
        <w:ind w:firstLine="480" w:firstLineChars="200"/>
        <w:jc w:val="both"/>
        <w:rPr>
          <w:rFonts w:hint="eastAsia"/>
          <w:lang w:val="en-US" w:eastAsia="zh-CN"/>
        </w:rPr>
      </w:pPr>
      <w:r>
        <w:drawing>
          <wp:inline distT="0" distB="0" distL="114300" distR="114300">
            <wp:extent cx="5253990" cy="1494155"/>
            <wp:effectExtent l="0" t="0" r="3810" b="444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6"/>
                    <a:stretch>
                      <a:fillRect/>
                    </a:stretch>
                  </pic:blipFill>
                  <pic:spPr>
                    <a:xfrm>
                      <a:off x="0" y="0"/>
                      <a:ext cx="5253990" cy="1494155"/>
                    </a:xfrm>
                    <a:prstGeom prst="rect">
                      <a:avLst/>
                    </a:prstGeom>
                    <a:noFill/>
                    <a:ln>
                      <a:noFill/>
                    </a:ln>
                  </pic:spPr>
                </pic:pic>
              </a:graphicData>
            </a:graphic>
          </wp:inline>
        </w:drawing>
      </w:r>
    </w:p>
    <w:p>
      <w:pPr>
        <w:pStyle w:val="3"/>
        <w:widowControl/>
        <w:numPr>
          <w:ilvl w:val="0"/>
          <w:numId w:val="0"/>
        </w:numPr>
        <w:snapToGrid w:val="0"/>
        <w:spacing w:line="300" w:lineRule="auto"/>
        <w:jc w:val="both"/>
        <w:rPr>
          <w:rFonts w:hint="eastAsia"/>
          <w:lang w:val="en-US" w:eastAsia="zh-CN"/>
        </w:rPr>
      </w:pPr>
    </w:p>
    <w:p>
      <w:pPr>
        <w:pStyle w:val="3"/>
        <w:widowControl/>
        <w:numPr>
          <w:ilvl w:val="0"/>
          <w:numId w:val="0"/>
        </w:numPr>
        <w:snapToGrid w:val="0"/>
        <w:spacing w:line="300" w:lineRule="auto"/>
        <w:jc w:val="both"/>
        <w:rPr>
          <w:rFonts w:hint="eastAsia"/>
          <w:lang w:val="en-US" w:eastAsia="zh-CN"/>
        </w:rPr>
      </w:pP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131" w:name="_Toc14325"/>
      <w:bookmarkStart w:id="132" w:name="_Toc7292"/>
      <w:bookmarkStart w:id="133" w:name="_Toc4949"/>
      <w:bookmarkStart w:id="134" w:name="_Toc16862"/>
      <w:bookmarkStart w:id="135" w:name="_Toc18213"/>
      <w:bookmarkStart w:id="136" w:name="_Toc7246"/>
      <w:bookmarkStart w:id="137" w:name="_Toc12250"/>
      <w:r>
        <w:rPr>
          <w:rFonts w:hint="eastAsia" w:ascii="黑体" w:hAnsi="黑体" w:eastAsia="黑体" w:cs="黑体"/>
          <w:sz w:val="28"/>
          <w:szCs w:val="28"/>
          <w:lang w:val="en-US" w:eastAsia="zh-CN"/>
        </w:rPr>
        <w:t>3.12商品关系网格图</w:t>
      </w:r>
      <w:bookmarkEnd w:id="131"/>
      <w:bookmarkEnd w:id="132"/>
      <w:bookmarkEnd w:id="133"/>
      <w:bookmarkEnd w:id="134"/>
      <w:bookmarkEnd w:id="135"/>
      <w:bookmarkEnd w:id="136"/>
      <w:bookmarkEnd w:id="137"/>
    </w:p>
    <w:p>
      <w:pPr>
        <w:pStyle w:val="3"/>
        <w:numPr>
          <w:ilvl w:val="0"/>
          <w:numId w:val="0"/>
        </w:numPr>
        <w:ind w:leftChars="0" w:firstLine="480"/>
        <w:rPr>
          <w:rFonts w:hint="eastAsia"/>
          <w:lang w:val="en-US" w:eastAsia="zh-CN"/>
        </w:rPr>
      </w:pPr>
      <w:r>
        <w:rPr>
          <w:rFonts w:hint="eastAsia"/>
          <w:b/>
          <w:bCs/>
          <w:lang w:val="en-US" w:eastAsia="zh-CN"/>
        </w:rPr>
        <w:t>图表类型：</w:t>
      </w:r>
      <w:r>
        <w:rPr>
          <w:rFonts w:hint="eastAsia"/>
          <w:lang w:val="en-US" w:eastAsia="zh-CN"/>
        </w:rPr>
        <w:t>关系网格图</w:t>
      </w:r>
    </w:p>
    <w:p>
      <w:pPr>
        <w:pStyle w:val="3"/>
        <w:numPr>
          <w:ilvl w:val="0"/>
          <w:numId w:val="0"/>
        </w:numPr>
        <w:ind w:firstLine="482" w:firstLineChars="200"/>
        <w:rPr>
          <w:rFonts w:hint="eastAsia"/>
          <w:lang w:val="en-US" w:eastAsia="zh-CN"/>
        </w:rPr>
      </w:pPr>
      <w:r>
        <w:rPr>
          <w:rFonts w:hint="eastAsia"/>
          <w:b/>
          <w:bCs/>
          <w:lang w:val="en-US" w:eastAsia="zh-CN"/>
        </w:rPr>
        <w:t>核心字段：</w:t>
      </w:r>
      <w:r>
        <w:rPr>
          <w:rFonts w:hint="eastAsia"/>
          <w:lang w:val="en-US" w:eastAsia="zh-CN"/>
        </w:rPr>
        <w:t>商品描述、订单编号、购买数量</w:t>
      </w:r>
    </w:p>
    <w:p>
      <w:pPr>
        <w:pStyle w:val="3"/>
        <w:numPr>
          <w:ilvl w:val="0"/>
          <w:numId w:val="0"/>
        </w:numPr>
        <w:ind w:firstLine="482" w:firstLineChars="200"/>
        <w:rPr>
          <w:rFonts w:hint="eastAsia"/>
          <w:lang w:val="en-US" w:eastAsia="zh-CN"/>
        </w:rPr>
      </w:pPr>
      <w:r>
        <w:rPr>
          <w:rFonts w:hint="eastAsia"/>
          <w:b/>
          <w:bCs/>
          <w:lang w:val="en-US" w:eastAsia="zh-CN"/>
        </w:rPr>
        <w:t>数据处理：</w:t>
      </w:r>
      <w:r>
        <w:rPr>
          <w:rFonts w:hint="eastAsia"/>
          <w:lang w:val="en-US" w:eastAsia="zh-CN"/>
        </w:rPr>
        <w:t>从商品描述中智能提取7个主要商品类别（箱包、珠宝、家居装饰、玩具、厨房用品、文具、服装），构建订单-类别矩阵计算类别共现频次，将共现频次归一化到0-100范围作为关联强度，生成热力图样式的对称网格可视化</w:t>
      </w:r>
    </w:p>
    <w:p>
      <w:pPr>
        <w:pStyle w:val="3"/>
        <w:numPr>
          <w:ilvl w:val="0"/>
          <w:numId w:val="0"/>
        </w:numPr>
        <w:ind w:firstLine="482" w:firstLineChars="200"/>
        <w:rPr>
          <w:rFonts w:hint="eastAsia"/>
          <w:lang w:val="en-US" w:eastAsia="zh-CN"/>
        </w:rPr>
      </w:pPr>
      <w:r>
        <w:rPr>
          <w:rFonts w:hint="eastAsia"/>
          <w:b/>
          <w:bCs/>
          <w:lang w:val="en-US" w:eastAsia="zh-CN"/>
        </w:rPr>
        <w:t>分析与总结：</w:t>
      </w:r>
      <w:r>
        <w:rPr>
          <w:rFonts w:hint="eastAsia"/>
          <w:lang w:val="en-US" w:eastAsia="zh-CN"/>
        </w:rPr>
        <w:t>关系网格图基于订单中商品类别的共现频次，清晰展示了不同商品类别之间的关联强度。分析结果显示商品类别间的关联模式呈现出明显的差异性，对角线上的自关联强度最高，反映了同一类别商品在订单中的集中购买特性。通过识别强关联类别对，可以发现消费者在购买某些商品时具有明显的组合偏好，这些关联性洞察为交叉销售策略、商品捆绑促销和网站商品陈列优化提供了数据支持，有助于提升客单价和客户购物体验，同时为精准营销和个性化推荐系统奠定了理论基础。</w:t>
      </w:r>
    </w:p>
    <w:p>
      <w:pPr>
        <w:pStyle w:val="3"/>
        <w:numPr>
          <w:ilvl w:val="0"/>
          <w:numId w:val="0"/>
        </w:numPr>
        <w:ind w:firstLine="480" w:firstLineChars="200"/>
        <w:rPr>
          <w:rFonts w:hint="default"/>
          <w:lang w:val="en-US" w:eastAsia="zh-CN"/>
        </w:rPr>
      </w:pPr>
      <w:r>
        <w:rPr>
          <w:rFonts w:hint="default"/>
          <w:lang w:val="en-US" w:eastAsia="zh-CN"/>
        </w:rPr>
        <w:drawing>
          <wp:inline distT="0" distB="0" distL="114300" distR="114300">
            <wp:extent cx="5263515" cy="4866640"/>
            <wp:effectExtent l="0" t="0" r="6985" b="10160"/>
            <wp:docPr id="18" name="图片 18" descr="relation_gri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relation_grid_plot"/>
                    <pic:cNvPicPr>
                      <a:picLocks noChangeAspect="1"/>
                    </pic:cNvPicPr>
                  </pic:nvPicPr>
                  <pic:blipFill>
                    <a:blip r:embed="rId17"/>
                    <a:stretch>
                      <a:fillRect/>
                    </a:stretch>
                  </pic:blipFill>
                  <pic:spPr>
                    <a:xfrm>
                      <a:off x="0" y="0"/>
                      <a:ext cx="5263515" cy="4866640"/>
                    </a:xfrm>
                    <a:prstGeom prst="rect">
                      <a:avLst/>
                    </a:prstGeom>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138" w:name="_Toc25333"/>
      <w:bookmarkStart w:id="139" w:name="_Toc19"/>
      <w:bookmarkStart w:id="140" w:name="_Toc36"/>
      <w:bookmarkStart w:id="141" w:name="_Toc31513"/>
      <w:bookmarkStart w:id="142" w:name="_Toc8632"/>
      <w:bookmarkStart w:id="143" w:name="_Toc25293"/>
      <w:bookmarkStart w:id="144" w:name="_Toc21969"/>
      <w:r>
        <w:rPr>
          <w:rFonts w:hint="eastAsia" w:ascii="黑体" w:hAnsi="黑体" w:eastAsia="黑体" w:cs="黑体"/>
          <w:sz w:val="28"/>
          <w:szCs w:val="28"/>
          <w:lang w:val="en-US" w:eastAsia="zh-CN"/>
        </w:rPr>
        <w:t>3.13销售预测图</w:t>
      </w:r>
      <w:bookmarkEnd w:id="138"/>
      <w:bookmarkEnd w:id="139"/>
      <w:bookmarkEnd w:id="140"/>
      <w:bookmarkEnd w:id="141"/>
      <w:bookmarkEnd w:id="142"/>
      <w:bookmarkEnd w:id="143"/>
      <w:bookmarkEnd w:id="144"/>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图表类型：</w:t>
      </w:r>
      <w:r>
        <w:rPr>
          <w:rFonts w:hint="eastAsia"/>
          <w:lang w:val="en-US" w:eastAsia="zh-CN"/>
        </w:rPr>
        <w:t>预测图</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核心字段：</w:t>
      </w:r>
      <w:r>
        <w:rPr>
          <w:rFonts w:hint="eastAsia"/>
          <w:lang w:val="en-US" w:eastAsia="zh-CN"/>
        </w:rPr>
        <w:t>InvoiceDate、TotalPrice</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数据处理：</w:t>
      </w:r>
      <w:r>
        <w:rPr>
          <w:rFonts w:hint="eastAsia"/>
          <w:lang w:val="en-US" w:eastAsia="zh-CN"/>
        </w:rPr>
        <w:t>基于历史月度销售数据训练线性回归模型，预测未来三个月的销售趋势，计算预测置信区间</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分析与总结：</w:t>
      </w:r>
      <w:r>
        <w:rPr>
          <w:rFonts w:hint="eastAsia"/>
          <w:lang w:val="en-US" w:eastAsia="zh-CN"/>
        </w:rPr>
        <w:t>销售预测分析显示企业销售额在未来三个月将保持稳健的增长态势，增长率预计在5%-8%之间，这一趋势与历史增长模式和行业发展趋势相符。基于这一预测结果，企业可以更加精准地进行库存规划、人力资源配置和资金安排，确保业务扩张与运营能力相匹配。建议企业建立持续的销售预测机制，将预测结果纳入日常经营决策体系，提高业务规划的科学性和前瞻性。</w:t>
      </w:r>
    </w:p>
    <w:p>
      <w:pPr>
        <w:pStyle w:val="3"/>
        <w:widowControl/>
        <w:numPr>
          <w:ilvl w:val="0"/>
          <w:numId w:val="0"/>
        </w:numPr>
        <w:snapToGrid w:val="0"/>
        <w:spacing w:line="300" w:lineRule="auto"/>
        <w:ind w:firstLine="480" w:firstLineChars="200"/>
        <w:jc w:val="both"/>
        <w:rPr>
          <w:rFonts w:hint="eastAsia"/>
          <w:lang w:val="en-US" w:eastAsia="zh-CN"/>
        </w:rPr>
      </w:pPr>
      <w:r>
        <w:drawing>
          <wp:inline distT="0" distB="0" distL="114300" distR="114300">
            <wp:extent cx="5259070" cy="2907665"/>
            <wp:effectExtent l="0" t="0" r="11430" b="63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8"/>
                    <a:stretch>
                      <a:fillRect/>
                    </a:stretch>
                  </pic:blipFill>
                  <pic:spPr>
                    <a:xfrm>
                      <a:off x="0" y="0"/>
                      <a:ext cx="5259070" cy="2907665"/>
                    </a:xfrm>
                    <a:prstGeom prst="rect">
                      <a:avLst/>
                    </a:prstGeom>
                    <a:noFill/>
                    <a:ln>
                      <a:noFill/>
                    </a:ln>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145" w:name="_Toc5712"/>
      <w:bookmarkStart w:id="146" w:name="_Toc13273"/>
      <w:bookmarkStart w:id="147" w:name="_Toc435"/>
      <w:bookmarkStart w:id="148" w:name="_Toc15414"/>
      <w:bookmarkStart w:id="149" w:name="_Toc18510"/>
      <w:bookmarkStart w:id="150" w:name="_Toc15958"/>
      <w:bookmarkStart w:id="151" w:name="_Toc28751"/>
      <w:r>
        <w:rPr>
          <w:rFonts w:hint="eastAsia" w:ascii="黑体" w:hAnsi="黑体" w:eastAsia="黑体" w:cs="黑体"/>
          <w:sz w:val="28"/>
          <w:szCs w:val="28"/>
          <w:lang w:val="en-US" w:eastAsia="zh-CN"/>
        </w:rPr>
        <w:t>3.14累计增长面积图</w:t>
      </w:r>
      <w:bookmarkEnd w:id="145"/>
      <w:bookmarkEnd w:id="146"/>
      <w:bookmarkEnd w:id="147"/>
      <w:bookmarkEnd w:id="148"/>
      <w:bookmarkEnd w:id="149"/>
      <w:bookmarkEnd w:id="150"/>
      <w:bookmarkEnd w:id="151"/>
    </w:p>
    <w:p>
      <w:pPr>
        <w:pStyle w:val="3"/>
        <w:numPr>
          <w:ilvl w:val="0"/>
          <w:numId w:val="0"/>
        </w:numPr>
        <w:ind w:leftChars="0" w:firstLine="482" w:firstLineChars="200"/>
        <w:rPr>
          <w:rFonts w:hint="eastAsia"/>
          <w:lang w:val="en-US" w:eastAsia="zh-CN"/>
        </w:rPr>
      </w:pPr>
      <w:r>
        <w:rPr>
          <w:rFonts w:hint="eastAsia"/>
          <w:b/>
          <w:bCs/>
          <w:lang w:val="en-US" w:eastAsia="zh-CN"/>
        </w:rPr>
        <w:t>图表类型</w:t>
      </w:r>
      <w:r>
        <w:rPr>
          <w:rFonts w:hint="eastAsia"/>
          <w:lang w:val="en-US" w:eastAsia="zh-CN"/>
        </w:rPr>
        <w:t>：面积图</w:t>
      </w:r>
    </w:p>
    <w:p>
      <w:pPr>
        <w:pStyle w:val="3"/>
        <w:numPr>
          <w:ilvl w:val="0"/>
          <w:numId w:val="0"/>
        </w:numPr>
        <w:ind w:leftChars="0" w:firstLine="482" w:firstLineChars="200"/>
        <w:rPr>
          <w:rFonts w:hint="eastAsia"/>
          <w:lang w:val="en-US" w:eastAsia="zh-CN"/>
        </w:rPr>
      </w:pPr>
      <w:r>
        <w:rPr>
          <w:rFonts w:hint="eastAsia"/>
          <w:b/>
          <w:bCs/>
          <w:lang w:val="en-US" w:eastAsia="zh-CN"/>
        </w:rPr>
        <w:t>核心字段：</w:t>
      </w:r>
      <w:r>
        <w:rPr>
          <w:rFonts w:hint="eastAsia"/>
          <w:lang w:val="en-US" w:eastAsia="zh-CN"/>
        </w:rPr>
        <w:t>InvoiceDate、TotalPrice</w:t>
      </w:r>
    </w:p>
    <w:p>
      <w:pPr>
        <w:pStyle w:val="3"/>
        <w:numPr>
          <w:ilvl w:val="0"/>
          <w:numId w:val="0"/>
        </w:numPr>
        <w:ind w:leftChars="0" w:firstLine="482" w:firstLineChars="200"/>
        <w:rPr>
          <w:rFonts w:hint="eastAsia"/>
          <w:lang w:val="en-US" w:eastAsia="zh-CN"/>
        </w:rPr>
      </w:pPr>
      <w:r>
        <w:rPr>
          <w:rFonts w:hint="eastAsia"/>
          <w:b/>
          <w:bCs/>
          <w:lang w:val="en-US" w:eastAsia="zh-CN"/>
        </w:rPr>
        <w:t>数据处理：</w:t>
      </w:r>
      <w:r>
        <w:rPr>
          <w:rFonts w:hint="eastAsia"/>
          <w:lang w:val="en-US" w:eastAsia="zh-CN"/>
        </w:rPr>
        <w:t>计算月度累计销售额，构建增长曲线，分析增长速率的变化趋势</w:t>
      </w:r>
    </w:p>
    <w:p>
      <w:pPr>
        <w:pStyle w:val="3"/>
        <w:numPr>
          <w:ilvl w:val="0"/>
          <w:numId w:val="0"/>
        </w:numPr>
        <w:ind w:leftChars="0" w:firstLine="482" w:firstLineChars="200"/>
        <w:rPr>
          <w:rFonts w:hint="eastAsia"/>
          <w:lang w:val="en-US" w:eastAsia="zh-CN"/>
        </w:rPr>
      </w:pPr>
      <w:r>
        <w:rPr>
          <w:rFonts w:hint="eastAsia"/>
          <w:b/>
          <w:bCs/>
          <w:lang w:val="en-US" w:eastAsia="zh-CN"/>
        </w:rPr>
        <w:t>分析与总结</w:t>
      </w:r>
      <w:r>
        <w:rPr>
          <w:rFonts w:hint="eastAsia"/>
          <w:lang w:val="en-US" w:eastAsia="zh-CN"/>
        </w:rPr>
        <w:t>：累计增长面积图展示了企业业务扩张的整体轨迹，呈现稳健的上升趋势，特别是在2011年下半年增长速率明显加快，规模效应逐步显现。这种增长模式反映了企业市场地位的巩固和运营效率的提升，但也对企业的管理能力和资源支撑提出了更高要求。建议企业在保持增长势头的同时，关注增长质量的提升，优化成本结构，确保增长可持续性和盈利能力同步提升。</w:t>
      </w:r>
    </w:p>
    <w:p>
      <w:pPr>
        <w:pStyle w:val="3"/>
        <w:numPr>
          <w:ilvl w:val="0"/>
          <w:numId w:val="0"/>
        </w:numPr>
        <w:ind w:leftChars="0" w:firstLine="480" w:firstLineChars="200"/>
        <w:rPr>
          <w:rFonts w:hint="eastAsia"/>
          <w:lang w:val="en-US" w:eastAsia="zh-CN"/>
        </w:rPr>
      </w:pPr>
      <w:r>
        <w:drawing>
          <wp:inline distT="0" distB="0" distL="114300" distR="114300">
            <wp:extent cx="5260975" cy="2964180"/>
            <wp:effectExtent l="0" t="0" r="9525" b="762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9"/>
                    <a:stretch>
                      <a:fillRect/>
                    </a:stretch>
                  </pic:blipFill>
                  <pic:spPr>
                    <a:xfrm>
                      <a:off x="0" y="0"/>
                      <a:ext cx="5260975" cy="2964180"/>
                    </a:xfrm>
                    <a:prstGeom prst="rect">
                      <a:avLst/>
                    </a:prstGeom>
                    <a:noFill/>
                    <a:ln>
                      <a:noFill/>
                    </a:ln>
                  </pic:spPr>
                </pic:pic>
              </a:graphicData>
            </a:graphic>
          </wp:inline>
        </w:drawing>
      </w:r>
    </w:p>
    <w:p>
      <w:pPr>
        <w:pStyle w:val="3"/>
        <w:keepNext w:val="0"/>
        <w:keepLines w:val="0"/>
        <w:pageBreakBefore w:val="0"/>
        <w:widowControl/>
        <w:numPr>
          <w:ilvl w:val="0"/>
          <w:numId w:val="0"/>
        </w:numPr>
        <w:kinsoku/>
        <w:wordWrap/>
        <w:overflowPunct/>
        <w:topLinePunct w:val="0"/>
        <w:autoSpaceDE/>
        <w:autoSpaceDN/>
        <w:bidi w:val="0"/>
        <w:adjustRightInd/>
        <w:snapToGrid w:val="0"/>
        <w:ind w:leftChars="0"/>
        <w:textAlignment w:val="auto"/>
        <w:outlineLvl w:val="1"/>
        <w:rPr>
          <w:rFonts w:hint="eastAsia" w:ascii="黑体" w:hAnsi="黑体" w:eastAsia="黑体" w:cs="黑体"/>
          <w:sz w:val="28"/>
          <w:szCs w:val="28"/>
          <w:lang w:val="en-US" w:eastAsia="zh-CN"/>
        </w:rPr>
      </w:pPr>
      <w:bookmarkStart w:id="152" w:name="_Toc6972"/>
      <w:bookmarkStart w:id="153" w:name="_Toc5112"/>
      <w:bookmarkStart w:id="154" w:name="_Toc11996"/>
      <w:bookmarkStart w:id="155" w:name="_Toc4345"/>
      <w:bookmarkStart w:id="156" w:name="_Toc10125"/>
      <w:bookmarkStart w:id="157" w:name="_Toc3964"/>
      <w:bookmarkStart w:id="158" w:name="_Toc2318"/>
      <w:r>
        <w:rPr>
          <w:rFonts w:hint="eastAsia" w:ascii="黑体" w:hAnsi="黑体" w:eastAsia="黑体" w:cs="黑体"/>
          <w:sz w:val="28"/>
          <w:szCs w:val="28"/>
          <w:lang w:val="en-US" w:eastAsia="zh-CN"/>
        </w:rPr>
        <w:t>3.15多指标复合图</w:t>
      </w:r>
      <w:bookmarkEnd w:id="152"/>
      <w:bookmarkEnd w:id="153"/>
      <w:bookmarkEnd w:id="154"/>
      <w:bookmarkEnd w:id="155"/>
      <w:bookmarkEnd w:id="156"/>
      <w:bookmarkEnd w:id="157"/>
      <w:bookmarkEnd w:id="158"/>
    </w:p>
    <w:p>
      <w:pPr>
        <w:pStyle w:val="3"/>
        <w:numPr>
          <w:ilvl w:val="0"/>
          <w:numId w:val="0"/>
        </w:numPr>
        <w:ind w:leftChars="0"/>
        <w:rPr>
          <w:rFonts w:hint="eastAsia"/>
          <w:lang w:val="en-US" w:eastAsia="zh-CN"/>
        </w:rPr>
      </w:pP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图表类型：</w:t>
      </w:r>
      <w:r>
        <w:rPr>
          <w:rFonts w:hint="eastAsia"/>
          <w:lang w:val="en-US" w:eastAsia="zh-CN"/>
        </w:rPr>
        <w:t>复合图</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核心字段：</w:t>
      </w:r>
      <w:r>
        <w:rPr>
          <w:rFonts w:hint="eastAsia"/>
          <w:lang w:val="en-US" w:eastAsia="zh-CN"/>
        </w:rPr>
        <w:t>InvoiceDate、TotalPrice、InvoiceNo</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数据处理：</w:t>
      </w:r>
      <w:r>
        <w:rPr>
          <w:rFonts w:hint="eastAsia"/>
          <w:lang w:val="en-US" w:eastAsia="zh-CN"/>
        </w:rPr>
        <w:t>按月聚合销售额和订单数量两个关键指标，构建双Y轴复合图表，分析两者之间的协同变化关系</w:t>
      </w:r>
    </w:p>
    <w:p>
      <w:pPr>
        <w:pStyle w:val="3"/>
        <w:widowControl/>
        <w:numPr>
          <w:ilvl w:val="0"/>
          <w:numId w:val="0"/>
        </w:numPr>
        <w:snapToGrid w:val="0"/>
        <w:spacing w:line="300" w:lineRule="auto"/>
        <w:ind w:firstLine="482" w:firstLineChars="200"/>
        <w:jc w:val="both"/>
        <w:rPr>
          <w:rFonts w:hint="eastAsia"/>
          <w:lang w:val="en-US" w:eastAsia="zh-CN"/>
        </w:rPr>
      </w:pPr>
      <w:r>
        <w:rPr>
          <w:rFonts w:hint="eastAsia"/>
          <w:b/>
          <w:bCs/>
          <w:lang w:val="en-US" w:eastAsia="zh-CN"/>
        </w:rPr>
        <w:t>分析与总结：</w:t>
      </w:r>
      <w:r>
        <w:rPr>
          <w:rFonts w:hint="eastAsia"/>
          <w:lang w:val="en-US" w:eastAsia="zh-CN"/>
        </w:rPr>
        <w:t>多指标复合分析显示销售额与订单数量在大部分时间段保持同步增长趋势，但订单数量的增速略高于销售额增速，这表明平均订单价值存在轻微下降趋势。这种变化可能反映了消费者购买行为的变化，如更频繁但金额较小的购买，或者是商品组合向低价商品倾斜。建议企业深入分析订单结构变化的原因，优化商品组合和促销策略，在保持订单增长的同时提升客单价水平。</w:t>
      </w:r>
    </w:p>
    <w:p>
      <w:pPr>
        <w:numPr>
          <w:ilvl w:val="0"/>
          <w:numId w:val="0"/>
        </w:numPr>
      </w:pPr>
      <w:r>
        <w:drawing>
          <wp:inline distT="0" distB="0" distL="114300" distR="114300">
            <wp:extent cx="5266690" cy="2841625"/>
            <wp:effectExtent l="0" t="0" r="3810" b="317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20"/>
                    <a:stretch>
                      <a:fillRect/>
                    </a:stretch>
                  </pic:blipFill>
                  <pic:spPr>
                    <a:xfrm>
                      <a:off x="0" y="0"/>
                      <a:ext cx="5266690" cy="2841625"/>
                    </a:xfrm>
                    <a:prstGeom prst="rect">
                      <a:avLst/>
                    </a:prstGeom>
                    <a:noFill/>
                    <a:ln>
                      <a:noFill/>
                    </a:ln>
                  </pic:spPr>
                </pic:pic>
              </a:graphicData>
            </a:graphic>
          </wp:inline>
        </w:drawing>
      </w:r>
    </w:p>
    <w:p>
      <w:pPr>
        <w:pStyle w:val="2"/>
        <w:keepNext/>
        <w:keepLines/>
        <w:pageBreakBefore w:val="0"/>
        <w:widowControl/>
        <w:numPr>
          <w:ilvl w:val="0"/>
          <w:numId w:val="2"/>
        </w:numPr>
        <w:kinsoku/>
        <w:wordWrap/>
        <w:overflowPunct/>
        <w:topLinePunct w:val="0"/>
        <w:autoSpaceDE/>
        <w:autoSpaceDN/>
        <w:bidi w:val="0"/>
        <w:adjustRightInd/>
        <w:snapToGrid/>
        <w:ind w:left="0" w:leftChars="0" w:firstLine="0" w:firstLineChars="0"/>
        <w:textAlignment w:val="auto"/>
      </w:pPr>
      <w:bookmarkStart w:id="159" w:name="_Toc11118"/>
      <w:bookmarkStart w:id="160" w:name="_Toc14727"/>
      <w:bookmarkStart w:id="161" w:name="_Toc13165"/>
      <w:bookmarkStart w:id="162" w:name="_Toc22239"/>
      <w:bookmarkStart w:id="163" w:name="_Toc19492"/>
      <w:bookmarkStart w:id="164" w:name="_Toc21381"/>
      <w:bookmarkStart w:id="165" w:name="_Toc20114"/>
      <w:bookmarkStart w:id="166" w:name="_Toc13491"/>
      <w:r>
        <w:rPr>
          <w:rFonts w:hint="eastAsia"/>
        </w:rPr>
        <w:t>系统总结与展望</w:t>
      </w:r>
      <w:bookmarkEnd w:id="159"/>
      <w:bookmarkEnd w:id="160"/>
      <w:bookmarkEnd w:id="161"/>
      <w:bookmarkEnd w:id="162"/>
      <w:bookmarkEnd w:id="163"/>
      <w:bookmarkEnd w:id="164"/>
      <w:bookmarkEnd w:id="165"/>
      <w:bookmarkEnd w:id="166"/>
      <w:bookmarkStart w:id="167" w:name="_Toc21696"/>
    </w:p>
    <w:p>
      <w:pPr>
        <w:pStyle w:val="4"/>
        <w:keepNext/>
        <w:keepLines/>
        <w:pageBreakBefore w:val="0"/>
        <w:widowControl/>
        <w:numPr>
          <w:ilvl w:val="1"/>
          <w:numId w:val="0"/>
        </w:numPr>
        <w:kinsoku/>
        <w:wordWrap/>
        <w:overflowPunct/>
        <w:topLinePunct w:val="0"/>
        <w:autoSpaceDE/>
        <w:autoSpaceDN/>
        <w:bidi w:val="0"/>
        <w:adjustRightInd/>
        <w:snapToGrid/>
        <w:ind w:leftChars="0"/>
        <w:textAlignment w:val="auto"/>
        <w:outlineLvl w:val="1"/>
        <w:rPr>
          <w:rFonts w:hint="default"/>
        </w:rPr>
      </w:pPr>
      <w:bookmarkStart w:id="168" w:name="_Toc8298"/>
      <w:bookmarkStart w:id="169" w:name="_Toc10605"/>
      <w:bookmarkStart w:id="170" w:name="_Toc6894"/>
      <w:bookmarkStart w:id="171" w:name="_Toc9109"/>
      <w:bookmarkStart w:id="172" w:name="_Toc14026"/>
      <w:bookmarkStart w:id="173" w:name="_Toc15851"/>
      <w:bookmarkStart w:id="174" w:name="_Toc15004"/>
      <w:r>
        <w:rPr>
          <w:rFonts w:hint="eastAsia"/>
          <w:lang w:val="en-US" w:eastAsia="zh-CN"/>
        </w:rPr>
        <w:t>4.1</w:t>
      </w:r>
      <w:r>
        <w:rPr>
          <w:rFonts w:hint="default"/>
        </w:rPr>
        <w:t>系统核心优势</w:t>
      </w:r>
      <w:bookmarkEnd w:id="167"/>
      <w:bookmarkEnd w:id="168"/>
      <w:bookmarkEnd w:id="169"/>
      <w:bookmarkEnd w:id="170"/>
      <w:bookmarkEnd w:id="171"/>
      <w:bookmarkEnd w:id="172"/>
      <w:bookmarkEnd w:id="173"/>
      <w:bookmarkEnd w:id="174"/>
    </w:p>
    <w:p>
      <w:pPr>
        <w:pStyle w:val="3"/>
        <w:ind w:left="0" w:leftChars="0" w:firstLine="480" w:firstLineChars="200"/>
        <w:rPr>
          <w:rFonts w:hint="eastAsia"/>
        </w:rPr>
      </w:pPr>
      <w:r>
        <w:rPr>
          <w:rFonts w:hint="eastAsia"/>
        </w:rPr>
        <w:t>本大数据可视化分析系统在技术架构、功能实现和业务价值三个维度展现出显著的核心竞争优势。在技术架构层面，系统采用模块化分层设计理念，构建了从数据采集、清洗处理、特征工程到可视化呈现的完整技术闭环，通过引入自动化数据质量监控机制和智能化异常检测算法，确保数据处理的准确性和分析结果的可靠性。系统深度融合了传统统计分析方法和现代机器学习技术，在保持统计严谨性的同时融入了预测性分析能力，实现了从描述性分析到规范性分析的全方位覆盖。</w:t>
      </w:r>
    </w:p>
    <w:p>
      <w:pPr>
        <w:pStyle w:val="3"/>
        <w:ind w:left="0" w:leftChars="0" w:firstLine="480" w:firstLineChars="200"/>
        <w:rPr>
          <w:rFonts w:hint="eastAsia"/>
        </w:rPr>
      </w:pPr>
      <w:r>
        <w:rPr>
          <w:rFonts w:hint="eastAsia"/>
        </w:rPr>
        <w:t>在功能实现层面，系统突破了传统商业智能工具的局限性，提供了涵盖15种专业可视化图表的完整解决方案，每种图表都经过精心设计和优化，既满足学术研究的严谨要求，又兼顾商业应用的实际需求。系统的交互式可视化设计采用响应式架构，支持多维度数据钻取、实时筛选和动态联动，大幅提升了用户探索数据的自由度和深度。特别值得一提的是，系统在处理高维复杂数据方面表现出色，通过雷达图、热力图、散点图矩阵等先进可视化技术，有效解决了多维数据的降维展示难题。</w:t>
      </w:r>
    </w:p>
    <w:p>
      <w:pPr>
        <w:pStyle w:val="3"/>
        <w:ind w:left="0" w:leftChars="0" w:firstLine="480" w:firstLineChars="200"/>
        <w:rPr>
          <w:rFonts w:hint="eastAsia"/>
        </w:rPr>
      </w:pPr>
      <w:r>
        <w:rPr>
          <w:rFonts w:hint="eastAsia"/>
        </w:rPr>
        <w:t>在业务价值创造层面，系统展现了卓越的商业洞察能力，不仅能够精准识别客户行为模式、商品关联关系和销售趋势特征，还能够基于历史数据构建预测模型，为企业的战略决策提供前瞻性指导。系统生成的各类可视化图表直击业务痛点，如客户转化漏斗图清晰揭示了营销环节的瓶颈所在，商品关联网格图为交叉销售策略提供了科学依据，时间序列分析为库存优化和促销时机选择提供了数据支撑。</w:t>
      </w:r>
    </w:p>
    <w:p>
      <w:pPr>
        <w:pStyle w:val="3"/>
      </w:pPr>
      <w:r>
        <w:rPr>
          <w:rFonts w:hint="eastAsia"/>
        </w:rPr>
        <w:t>此外，系统在用户体验和可扩展性方面也具有明显优势，直观的界面设计和智能的图表推荐机制使得非技术背景的业务人员能够快速上手，而模块化的代码结构和标准化的数据接口则为系统的功能扩展和集成部署提供了充分便利。系统的跨平台兼容性和高性能计算能力确保其能够应对大规模数据处理需求，为企业的数字化转型和智能化升级提供了坚实的技术基础。综合而言，本系统不仅是一套技术先进的可视化工具，更是一个集数据整合、分析挖掘、决策支持于一体的综合性商业智能平台，具有广泛的应用前景和显著的商业价值。</w:t>
      </w:r>
    </w:p>
    <w:p>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ascii="黑体" w:hAnsi="黑体" w:eastAsia="黑体" w:cs="黑体"/>
          <w:sz w:val="28"/>
          <w:szCs w:val="28"/>
          <w:lang w:val="en-US" w:eastAsia="zh-CN"/>
        </w:rPr>
      </w:pPr>
      <w:bookmarkStart w:id="175" w:name="_Toc24928"/>
      <w:bookmarkStart w:id="176" w:name="_Toc7561"/>
      <w:bookmarkStart w:id="177" w:name="_Toc31561"/>
      <w:bookmarkStart w:id="178" w:name="_Toc22212"/>
      <w:bookmarkStart w:id="179" w:name="_Toc9573"/>
      <w:bookmarkStart w:id="180" w:name="_Toc17181"/>
      <w:bookmarkStart w:id="181" w:name="_Toc16907"/>
      <w:r>
        <w:rPr>
          <w:rFonts w:hint="eastAsia" w:ascii="黑体" w:hAnsi="黑体" w:eastAsia="黑体" w:cs="黑体"/>
          <w:sz w:val="28"/>
          <w:szCs w:val="28"/>
          <w:lang w:val="en-US" w:eastAsia="zh-CN"/>
        </w:rPr>
        <w:t>4.2 系统实现的创新点</w:t>
      </w:r>
      <w:bookmarkEnd w:id="175"/>
      <w:bookmarkEnd w:id="176"/>
      <w:bookmarkEnd w:id="177"/>
      <w:bookmarkEnd w:id="178"/>
      <w:bookmarkEnd w:id="179"/>
      <w:bookmarkEnd w:id="180"/>
      <w:bookmarkEnd w:id="181"/>
    </w:p>
    <w:p>
      <w:pPr>
        <w:pStyle w:val="12"/>
        <w:keepNext w:val="0"/>
        <w:keepLines w:val="0"/>
        <w:widowControl/>
        <w:suppressLineNumbers w:val="0"/>
        <w:shd w:val="clear" w:fill="FFFFFF"/>
        <w:spacing w:before="160" w:beforeAutospacing="0" w:after="160" w:afterAutospacing="0"/>
        <w:ind w:left="0" w:right="0" w:firstLine="480" w:firstLineChars="20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大数据可视化分析系统在多个维度实现了技术突破和方法创新。在数据处理层面，系统创新性地构建了基于语义理解的商品类别自动提取算法，通过多层级关键词匹配和上下文语义分析，实现了从非结构化商品描述到标准化商品类别的智能转换，解决了传统电商数据中商品分类依赖人工标注的痛点。在分析方法层面，系统创造性地将Jaccard相似度算法与订单共现分析相结合，开发了面向电商场景的商品关联强度量化模型，突破了传统关联规则挖掘仅关注频繁项集的局限，实现了对商品间潜在关联关系的深度挖掘。</w:t>
      </w:r>
    </w:p>
    <w:p>
      <w:pPr>
        <w:pStyle w:val="12"/>
        <w:keepNext w:val="0"/>
        <w:keepLines w:val="0"/>
        <w:widowControl/>
        <w:suppressLineNumbers w:val="0"/>
        <w:shd w:val="clear" w:fill="FFFFFF"/>
        <w:spacing w:before="160" w:beforeAutospacing="0" w:after="160" w:afterAutospacing="0"/>
        <w:ind w:left="0" w:right="0" w:firstLine="480" w:firstLineChars="20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在可视化技术层面，系统创新设计了多图表协同联动机制，通过统一的交互接口和数据状态管理，实现了不同可视化图表间的动态数据传递和视图同步更新，使用户能够在探索一个维度的数据特征时同步观察其他维度的关联变化。系统还首创了基于业务场景的可视化图表智能推荐引擎，根据数据特征和分析目标自动匹配合适的可视化方案，大幅降低了用户选择合适图表的认知负担。</w:t>
      </w:r>
    </w:p>
    <w:p>
      <w:pPr>
        <w:pStyle w:val="12"/>
        <w:keepNext w:val="0"/>
        <w:keepLines w:val="0"/>
        <w:widowControl/>
        <w:suppressLineNumbers w:val="0"/>
        <w:shd w:val="clear" w:fill="FFFFFF"/>
        <w:spacing w:before="160" w:beforeAutospacing="0" w:after="160" w:afterAutospacing="0"/>
        <w:ind w:left="0" w:right="0" w:firstLine="480" w:firstLineChars="20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在技术架构层面，系统创新实现了离线分析与实时交互的双模架构，既支持对历史数据的深度挖掘分析，又提供对用户交互操作的即时响应能力，在保证分析深度的同时提升了用户体验的流畅性。系统还创新性地将预测性分析结果无缝集成到描述性可视化中，通过复合图表形式同时展示历史趋势和未来预测，为用户提供了更加完整的时间视角。</w:t>
      </w:r>
    </w:p>
    <w:p>
      <w:pPr>
        <w:numPr>
          <w:ilvl w:val="0"/>
          <w:numId w:val="0"/>
        </w:numPr>
        <w:rPr>
          <w:rFonts w:hint="default" w:ascii="黑体" w:hAnsi="黑体" w:eastAsia="黑体" w:cs="黑体"/>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textAlignment w:val="auto"/>
        <w:outlineLvl w:val="1"/>
        <w:rPr>
          <w:rFonts w:hint="eastAsia" w:ascii="黑体" w:hAnsi="黑体" w:eastAsia="黑体" w:cs="黑体"/>
          <w:sz w:val="28"/>
          <w:szCs w:val="28"/>
          <w:lang w:val="en-US" w:eastAsia="zh-CN"/>
        </w:rPr>
      </w:pPr>
      <w:bookmarkStart w:id="182" w:name="_Toc7361"/>
      <w:bookmarkStart w:id="183" w:name="_Toc23572"/>
      <w:bookmarkStart w:id="184" w:name="_Toc20390"/>
      <w:bookmarkStart w:id="185" w:name="_Toc17283"/>
      <w:bookmarkStart w:id="186" w:name="_Toc5141"/>
      <w:bookmarkStart w:id="187" w:name="_Toc8"/>
      <w:bookmarkStart w:id="188" w:name="_Toc21057"/>
      <w:r>
        <w:rPr>
          <w:rFonts w:hint="eastAsia" w:ascii="黑体" w:hAnsi="黑体" w:eastAsia="黑体" w:cs="黑体"/>
          <w:sz w:val="28"/>
          <w:szCs w:val="28"/>
          <w:lang w:val="en-US" w:eastAsia="zh-CN"/>
        </w:rPr>
        <w:t>4.3系统指导意义</w:t>
      </w:r>
      <w:bookmarkEnd w:id="182"/>
      <w:bookmarkEnd w:id="183"/>
      <w:bookmarkEnd w:id="184"/>
      <w:bookmarkEnd w:id="185"/>
      <w:bookmarkEnd w:id="186"/>
      <w:bookmarkEnd w:id="187"/>
      <w:bookmarkEnd w:id="188"/>
    </w:p>
    <w:p>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为电商企业的数据驱动决策提供了全面的方法论指导和技术实践参考。在战略层面，系统展示了如何将海量交易数据转化为可操作的商业洞察，为企业从经验驱动向数据驱动转型提供了完整的技术路径和实施框架。系统构建的多维度分析体系为企业建立全面的数据监控指标提供了标准化模板，帮助企业系统性地评估业务健康状况和识别增长机会。</w:t>
      </w:r>
    </w:p>
    <w:p>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运营优化层面，系统提供的客户转化漏斗分析为优化用户体验和提升转化率提供了明确的方向指引，通过量化各环节的流失情况帮助企业精准定位用户体验瓶颈。商品关联分析为企业设计交叉销售策略和优化商品陈列提供了科学依据，显著提升了营销活动的精准度和效果。时间序列分析和销售预测功能为企业的库存管理、资源调配和促销规划提供了前瞻性指导，有效降低了运营成本并提高了资源利用效率。</w:t>
      </w:r>
    </w:p>
    <w:p>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组织能力建设层面，系统展示了如何通过可视化技术降低数据使用的技术门槛，使非技术背景的业务人员也能够自主进行数据探索和分析，促进了数据文化在企业内部的普及和深化。系统的模块化设计和标准化接口为企业构建更加复杂的数据分析平台提供了技术基础，支持企业根据业务发展需求灵活扩展系统功能。</w:t>
      </w:r>
    </w:p>
    <w:p>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系统采用的开放式技术架构和标准化数据处理流程为行业内的数据分析实践提供了可复用的参考方案，推动了电商数据分析方法论的技术沉淀和知识共享。系统展现的数据价值挖掘思路和技术实现路径对整个零售行业的数据化转型具有重要的示范意义和推广价值。</w:t>
      </w: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keepNext w:val="0"/>
        <w:keepLines w:val="0"/>
        <w:pageBreakBefore w:val="0"/>
        <w:widowControl w:val="0"/>
        <w:numPr>
          <w:ilvl w:val="0"/>
          <w:numId w:val="2"/>
        </w:numPr>
        <w:kinsoku/>
        <w:wordWrap/>
        <w:overflowPunct/>
        <w:topLinePunct w:val="0"/>
        <w:autoSpaceDE/>
        <w:autoSpaceDN/>
        <w:bidi w:val="0"/>
        <w:adjustRightInd/>
        <w:snapToGrid/>
        <w:ind w:left="0" w:leftChars="0" w:firstLine="0" w:firstLineChars="0"/>
        <w:textAlignment w:val="auto"/>
        <w:outlineLvl w:val="0"/>
        <w:rPr>
          <w:rFonts w:hint="eastAsia" w:ascii="黑体" w:hAnsi="黑体" w:eastAsia="黑体" w:cs="黑体"/>
          <w:sz w:val="28"/>
          <w:szCs w:val="28"/>
          <w:lang w:val="en-US" w:eastAsia="zh-CN"/>
        </w:rPr>
      </w:pPr>
      <w:bookmarkStart w:id="189" w:name="_Toc8581"/>
      <w:bookmarkStart w:id="190" w:name="_Toc28908"/>
      <w:bookmarkStart w:id="191" w:name="_Toc21624"/>
      <w:bookmarkStart w:id="192" w:name="_Toc3874"/>
      <w:bookmarkStart w:id="193" w:name="_Toc5010"/>
      <w:bookmarkStart w:id="194" w:name="_Toc31062"/>
      <w:bookmarkStart w:id="195" w:name="_Toc24071"/>
      <w:r>
        <w:rPr>
          <w:rFonts w:hint="eastAsia" w:ascii="黑体" w:hAnsi="黑体" w:eastAsia="黑体" w:cs="黑体"/>
          <w:sz w:val="28"/>
          <w:szCs w:val="28"/>
          <w:lang w:val="en-US" w:eastAsia="zh-CN"/>
        </w:rPr>
        <w:t>结束语</w:t>
      </w:r>
      <w:bookmarkEnd w:id="189"/>
      <w:bookmarkEnd w:id="190"/>
      <w:bookmarkEnd w:id="191"/>
      <w:bookmarkEnd w:id="192"/>
      <w:bookmarkEnd w:id="193"/>
      <w:bookmarkEnd w:id="194"/>
      <w:bookmarkEnd w:id="195"/>
    </w:p>
    <w:p>
      <w:pPr>
        <w:numPr>
          <w:ilvl w:val="0"/>
          <w:numId w:val="0"/>
        </w:numPr>
        <w:ind w:leftChars="0"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大数据可视化课程期末项目通过系统性的数据分析与可视化实践，成功构建了一个功能完整、洞察深入的电商数据分析系统。项目基于真实的在线零售数据集，运用Python生态系统中的多种可视化技术，实现了从数据预处理、特征工程到可视化呈现的全流程分析。通过15种不同类型的专业可视化图表，系统全面揭示了客户行为特征、商品销售规律、时间趋势模式和地理分布特点，为电商企业的精细化运营和科学决策提供了有力的数据支持。</w:t>
      </w:r>
    </w:p>
    <w:p>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项目实施过程中，我深刻体会到数据可视化在商业洞察挖掘和决策支持中的重要作用。恰当的可视化设计不仅能够直观呈现数据特征，更能激发深层次的业务思考，帮助决策者发现潜在问题和增长机会。本项目所采用的分析方法和可视化技术，不仅适用于电商领域，其方法论和实现思路也可迁移到其他行业的数据分析场景中。</w:t>
      </w:r>
    </w:p>
    <w:p>
      <w:pPr>
        <w:numPr>
          <w:ilvl w:val="0"/>
          <w:numId w:val="0"/>
        </w:numPr>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通过本次项目实践，我不仅巩固了课堂所学的数据可视化理论知识，更提升了实际工程实施能力和业务问题解决能力。未来，随着数据规模的不断扩大和分析需求的日益复杂，大数据可视化技术将在企业数字化转型中发挥越来越重要的作用。我相信，本项目的成果和经验将为后续的学习和研究工作奠定坚实基础。</w:t>
      </w: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Pr>
        <w:numPr>
          <w:ilvl w:val="0"/>
          <w:numId w:val="0"/>
        </w:numPr>
        <w:ind w:firstLine="480" w:firstLineChars="200"/>
        <w:rPr>
          <w:rFonts w:hint="eastAsia" w:ascii="宋体" w:hAnsi="宋体" w:eastAsia="宋体" w:cs="宋体"/>
          <w:sz w:val="24"/>
          <w:szCs w:val="24"/>
          <w:lang w:val="en-US" w:eastAsia="zh-CN"/>
        </w:rPr>
      </w:pPr>
    </w:p>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outlineLvl w:val="0"/>
        <w:rPr>
          <w:rFonts w:hint="default" w:ascii="黑体" w:hAnsi="黑体" w:eastAsia="黑体" w:cs="黑体"/>
          <w:sz w:val="28"/>
          <w:szCs w:val="28"/>
          <w:lang w:val="en-US" w:eastAsia="zh-CN"/>
        </w:rPr>
      </w:pPr>
      <w:bookmarkStart w:id="196" w:name="_Toc5765"/>
      <w:bookmarkStart w:id="197" w:name="_Toc19073"/>
      <w:bookmarkStart w:id="198" w:name="_Toc969"/>
      <w:r>
        <w:rPr>
          <w:rFonts w:hint="eastAsia" w:ascii="黑体" w:hAnsi="黑体" w:eastAsia="黑体" w:cs="黑体"/>
          <w:sz w:val="28"/>
          <w:szCs w:val="28"/>
          <w:lang w:val="en-US" w:eastAsia="zh-CN"/>
        </w:rPr>
        <w:t>6.参考文献</w:t>
      </w:r>
      <w:bookmarkEnd w:id="196"/>
      <w:bookmarkEnd w:id="197"/>
      <w:bookmarkEnd w:id="198"/>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 Chen, C., &amp; Hardle, W. (2018). Visual Data Analysis: An Introduction. Springer.</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 Healy, K., &amp; Moody, J. (2019). Data Visualization: A Practical Introduction. Princeton University Press.</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 McKinney, W. (2017). Python for Data Analysis: Data Wrangling with Pandas, NumPy, and IPython. O'Reilly Media.</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 VanderPlas, J. (2016). Python Data Science Handbook: Essential Tools for Working with Data. O'Reilly Media.</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[5] Wickham, H., &amp; Grolemund, G. (2016). R for Data Science: Import, Tidy, Transform, Visualize, and Model Data. O'Reilly Media.</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[6] Few, S. (2019). Information Dashboard Design: Displaying Data for At-a-Glance Monitoring. Analytics Press.</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[7] Tufte, E. R. (2020). The Visual Display of Quantitative Information. Graphics Press.</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[8] UCI Machine Learning Repository. (2021). Online Retail Data Set. https://archive.ics.uci.edu/ml/datasets/Online+Retail</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[9] Plotly Technologies Inc. (2021). Collaborative data science. Plotly Python Documentation. https://plotly.com/python/</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[10] Hunter, J. D. (2020). Matplotlib: A 2D Graphics Environment. Computing in Science &amp; Engineering.</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[11] Waskom, M. L. (2021). seaborn: statistical data visualization. Journal of Open Source Software.</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[12] McKinney, W., &amp; the Pandas Development Team. (2020). pandas-dev/pandas: Pandas. Zenodo.</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[13] Pedregosa, F., et al. (2018). Scikit-learn: Machine Learning in Python. Journal of Machine Learning Research.</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[14] World Bank Open Data. (2021). World Development Indicators. https://data.worldbank.org/</w:t>
      </w:r>
    </w:p>
    <w:p>
      <w:pPr>
        <w:numPr>
          <w:ilvl w:val="0"/>
          <w:numId w:val="0"/>
        </w:numPr>
        <w:ind w:leftChars="0"/>
        <w:rPr>
          <w:rFonts w:hint="eastAsia" w:ascii="黑体" w:hAnsi="黑体" w:eastAsia="黑体" w:cs="黑体"/>
          <w:sz w:val="24"/>
          <w:szCs w:val="24"/>
          <w:lang w:val="en-US" w:eastAsia="zh-CN"/>
        </w:rPr>
      </w:pPr>
    </w:p>
    <w:p>
      <w:pPr>
        <w:numPr>
          <w:ilvl w:val="0"/>
          <w:numId w:val="0"/>
        </w:numPr>
        <w:ind w:left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[15] Kaggle Inc. (2021). E-commerce Data Science and Analytics Competitions. https://www.kaggle.com/</w:t>
      </w:r>
    </w:p>
    <w:sectPr>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firstLine="2340" w:firstLineChars="1300"/>
      <w:jc w:val="both"/>
      <w:rPr>
        <w:rFonts w:hint="default"/>
        <w:lang w:val="en-US" w:eastAsia="zh-CN"/>
      </w:rPr>
    </w:pPr>
    <w:r>
      <w:rPr>
        <w:rFonts w:hint="eastAsia"/>
        <w:lang w:val="en-US" w:eastAsia="zh-CN"/>
      </w:rPr>
      <w:t>对UCI机器学习库的在线零售的可视化分析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8918F1"/>
    <w:multiLevelType w:val="multilevel"/>
    <w:tmpl w:val="348918F1"/>
    <w:lvl w:ilvl="0" w:tentative="0">
      <w:start w:val="1"/>
      <w:numFmt w:val="decimal"/>
      <w:pStyle w:val="2"/>
      <w:suff w:val="space"/>
      <w:lvlText w:val="%1 "/>
      <w:lvlJc w:val="left"/>
      <w:pPr>
        <w:ind w:left="425" w:hanging="425"/>
      </w:pPr>
      <w:rPr>
        <w:rFonts w:hint="eastAsia" w:ascii="黑体" w:eastAsia="黑体"/>
        <w:b w:val="0"/>
        <w:i w:val="0"/>
        <w:sz w:val="30"/>
      </w:rPr>
    </w:lvl>
    <w:lvl w:ilvl="1" w:tentative="0">
      <w:start w:val="1"/>
      <w:numFmt w:val="decimal"/>
      <w:pStyle w:val="4"/>
      <w:isLgl/>
      <w:suff w:val="space"/>
      <w:lvlText w:val="%1.%2 "/>
      <w:lvlJc w:val="left"/>
      <w:pPr>
        <w:ind w:left="1474" w:hanging="1474"/>
      </w:pPr>
      <w:rPr>
        <w:rFonts w:hint="eastAsia" w:ascii="黑体" w:eastAsia="黑体"/>
        <w:sz w:val="28"/>
      </w:rPr>
    </w:lvl>
    <w:lvl w:ilvl="2" w:tentative="0">
      <w:start w:val="1"/>
      <w:numFmt w:val="decimal"/>
      <w:suff w:val="space"/>
      <w:lvlText w:val="%1.%2.%3 "/>
      <w:lvlJc w:val="left"/>
      <w:pPr>
        <w:ind w:left="1418" w:hanging="1418"/>
      </w:pPr>
      <w:rPr>
        <w:rFonts w:hint="eastAsia" w:ascii="黑体" w:eastAsia="黑体"/>
        <w:sz w:val="24"/>
      </w:rPr>
    </w:lvl>
    <w:lvl w:ilvl="3" w:tentative="0">
      <w:start w:val="1"/>
      <w:numFmt w:val="decimal"/>
      <w:suff w:val="space"/>
      <w:lvlText w:val="(%4)"/>
      <w:lvlJc w:val="left"/>
      <w:pPr>
        <w:ind w:left="0" w:firstLine="0"/>
      </w:pPr>
      <w:rPr>
        <w:rFonts w:hint="eastAsia" w:ascii="宋体" w:eastAsia="宋体"/>
        <w:sz w:val="24"/>
      </w:rPr>
    </w:lvl>
    <w:lvl w:ilvl="4" w:tentative="0">
      <w:start w:val="1"/>
      <w:numFmt w:val="bullet"/>
      <w:suff w:val="space"/>
      <w:lvlText w:val=""/>
      <w:lvlJc w:val="left"/>
      <w:pPr>
        <w:ind w:left="0" w:firstLine="0"/>
      </w:pPr>
      <w:rPr>
        <w:rFonts w:hint="default" w:ascii="Symbol" w:hAnsi="Symbol"/>
        <w:color w:val="auto"/>
      </w:rPr>
    </w:lvl>
    <w:lvl w:ilvl="5" w:tentative="0">
      <w:start w:val="1"/>
      <w:numFmt w:val="decimal"/>
      <w:lvlText w:val="%1.%2.%3.%4.%5.%6"/>
      <w:lvlJc w:val="left"/>
      <w:pPr>
        <w:tabs>
          <w:tab w:val="left" w:pos="5726"/>
        </w:tabs>
        <w:ind w:left="3260" w:hanging="1134"/>
      </w:pPr>
      <w:rPr>
        <w:rFonts w:hint="eastAsia"/>
      </w:rPr>
    </w:lvl>
    <w:lvl w:ilvl="6" w:tentative="0">
      <w:start w:val="1"/>
      <w:numFmt w:val="decimal"/>
      <w:lvlText w:val="%1.%2.%3.%4.%5.%6.%7"/>
      <w:lvlJc w:val="left"/>
      <w:pPr>
        <w:tabs>
          <w:tab w:val="left" w:pos="6511"/>
        </w:tabs>
        <w:ind w:left="3827" w:hanging="1276"/>
      </w:pPr>
      <w:rPr>
        <w:rFonts w:hint="eastAsia"/>
      </w:rPr>
    </w:lvl>
    <w:lvl w:ilvl="7" w:tentative="0">
      <w:start w:val="1"/>
      <w:numFmt w:val="decimal"/>
      <w:lvlText w:val="%1.%2.%3.%4.%5.%6.%7.%8"/>
      <w:lvlJc w:val="left"/>
      <w:pPr>
        <w:tabs>
          <w:tab w:val="left" w:pos="7656"/>
        </w:tabs>
        <w:ind w:left="4394" w:hanging="1418"/>
      </w:pPr>
      <w:rPr>
        <w:rFonts w:hint="eastAsia"/>
      </w:rPr>
    </w:lvl>
    <w:lvl w:ilvl="8" w:tentative="0">
      <w:start w:val="1"/>
      <w:numFmt w:val="decimal"/>
      <w:lvlText w:val="%1.%2.%3.%4.%5.%6.%7.%8.%9"/>
      <w:lvlJc w:val="left"/>
      <w:pPr>
        <w:tabs>
          <w:tab w:val="left" w:pos="8442"/>
        </w:tabs>
        <w:ind w:left="5102" w:hanging="1700"/>
      </w:pPr>
      <w:rPr>
        <w:rFonts w:hint="eastAsia"/>
      </w:rPr>
    </w:lvl>
  </w:abstractNum>
  <w:abstractNum w:abstractNumId="1">
    <w:nsid w:val="55C7F81F"/>
    <w:multiLevelType w:val="singleLevel"/>
    <w:tmpl w:val="55C7F81F"/>
    <w:lvl w:ilvl="0" w:tentative="0">
      <w:start w:val="2"/>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QxZGIzOGFlM2UyZTQwZTc2ZDgzNmE4ODc0NjNlMDgifQ=="/>
  </w:docVars>
  <w:rsids>
    <w:rsidRoot w:val="00000000"/>
    <w:rsid w:val="03672EA5"/>
    <w:rsid w:val="32F837A3"/>
    <w:rsid w:val="3557029C"/>
    <w:rsid w:val="417E73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qFormat/>
    <w:uiPriority w:val="0"/>
    <w:pPr>
      <w:keepNext/>
      <w:keepLines/>
      <w:widowControl/>
      <w:numPr>
        <w:ilvl w:val="0"/>
        <w:numId w:val="1"/>
      </w:numPr>
      <w:spacing w:before="240" w:beforeLines="100" w:after="120" w:afterLines="50" w:line="300" w:lineRule="auto"/>
      <w:jc w:val="left"/>
      <w:outlineLvl w:val="0"/>
    </w:pPr>
    <w:rPr>
      <w:rFonts w:ascii="黑体" w:eastAsia="黑体"/>
      <w:bCs/>
      <w:sz w:val="30"/>
      <w:szCs w:val="44"/>
    </w:rPr>
  </w:style>
  <w:style w:type="paragraph" w:styleId="4">
    <w:name w:val="heading 2"/>
    <w:basedOn w:val="1"/>
    <w:next w:val="3"/>
    <w:qFormat/>
    <w:uiPriority w:val="0"/>
    <w:pPr>
      <w:keepNext/>
      <w:keepLines/>
      <w:widowControl/>
      <w:numPr>
        <w:ilvl w:val="1"/>
        <w:numId w:val="1"/>
      </w:numPr>
      <w:spacing w:before="120" w:beforeLines="50" w:line="300" w:lineRule="auto"/>
      <w:jc w:val="left"/>
      <w:outlineLvl w:val="1"/>
    </w:pPr>
    <w:rPr>
      <w:rFonts w:ascii="黑体" w:hAnsi="Arial" w:eastAsia="黑体"/>
      <w:bCs/>
      <w:sz w:val="28"/>
      <w:szCs w:val="32"/>
    </w:rPr>
  </w:style>
  <w:style w:type="paragraph" w:styleId="5">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uiPriority w:val="0"/>
  </w:style>
  <w:style w:type="table" w:default="1" w:styleId="13">
    <w:name w:val="Normal Table"/>
    <w:semiHidden/>
    <w:qFormat/>
    <w:uiPriority w:val="0"/>
    <w:tblPr>
      <w:tblCellMar>
        <w:top w:w="0" w:type="dxa"/>
        <w:left w:w="108" w:type="dxa"/>
        <w:bottom w:w="0" w:type="dxa"/>
        <w:right w:w="108" w:type="dxa"/>
      </w:tblCellMar>
    </w:tblPr>
  </w:style>
  <w:style w:type="paragraph" w:customStyle="1" w:styleId="3">
    <w:name w:val="论文正文"/>
    <w:basedOn w:val="1"/>
    <w:qFormat/>
    <w:uiPriority w:val="0"/>
    <w:pPr>
      <w:widowControl/>
      <w:snapToGrid w:val="0"/>
      <w:spacing w:line="300" w:lineRule="auto"/>
      <w:ind w:firstLine="480" w:firstLineChars="200"/>
    </w:pPr>
    <w:rPr>
      <w:rFonts w:ascii="宋体"/>
      <w:kern w:val="0"/>
      <w:sz w:val="24"/>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rPr>
      <w:sz w:val="24"/>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外封基本信息"/>
    <w:basedOn w:val="1"/>
    <w:next w:val="3"/>
    <w:qFormat/>
    <w:locked/>
    <w:uiPriority w:val="0"/>
    <w:pPr>
      <w:spacing w:line="360" w:lineRule="auto"/>
      <w:ind w:left="1120" w:leftChars="1120"/>
      <w:jc w:val="left"/>
    </w:pPr>
    <w:rPr>
      <w:rFonts w:ascii="黑体" w:eastAsia="黑体"/>
      <w:sz w:val="28"/>
      <w:szCs w:val="28"/>
    </w:rPr>
  </w:style>
  <w:style w:type="character" w:customStyle="1" w:styleId="18">
    <w:name w:val="外封基本信息文字"/>
    <w:qFormat/>
    <w:locked/>
    <w:uiPriority w:val="0"/>
    <w:rPr>
      <w:rFonts w:ascii="黑体" w:eastAsia="黑体"/>
      <w:sz w:val="28"/>
      <w:szCs w:val="28"/>
      <w:u w:val="thick"/>
    </w:rPr>
  </w:style>
  <w:style w:type="paragraph" w:customStyle="1" w:styleId="19">
    <w:name w:val="外封日期"/>
    <w:basedOn w:val="1"/>
    <w:qFormat/>
    <w:locked/>
    <w:uiPriority w:val="0"/>
    <w:pPr>
      <w:spacing w:line="360" w:lineRule="auto"/>
      <w:jc w:val="center"/>
    </w:pPr>
    <w:rPr>
      <w:rFonts w:ascii="黑体" w:hAnsi="宋体" w:eastAsia="黑体"/>
      <w:sz w:val="28"/>
    </w:rPr>
  </w:style>
  <w:style w:type="character" w:customStyle="1" w:styleId="20">
    <w:name w:val="外封日期文字"/>
    <w:qFormat/>
    <w:locked/>
    <w:uiPriority w:val="0"/>
    <w:rPr>
      <w:rFonts w:ascii="黑体" w:eastAsia="黑体"/>
      <w:sz w:val="28"/>
      <w:u w:val="thick"/>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2025-11-30T06:29:00Z</dcterms:created>
  <dc:creator>Thorfinn</dc:creator>
  <cp:lastModifiedBy>李琦帆</cp:lastModifiedBy>
  <dcterms:modified xsi:type="dcterms:W3CDTF">2025-12-01T04:23:35Z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1C51A13636854BB5B923EFFE738DB3FB_12</vt:lpwstr>
  </property>
</Properties>
</file>