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"/>
      </w:pPr>
      <w:r>
        <w:rPr>
          <w:b/>
          <w:bCs/>
          <w:color w:val="1F3A93"/>
          <w:sz w:val="40"/>
          <w:szCs w:val="40"/>
        </w:rPr>
        <w:t xml:space="preserve">為替版 Fear &amp; Greed Index 算出方法</w:t>
      </w:r>
    </w:p>
    <w:p>
      <w:pPr>
        <w:spacing w:after="60"/>
      </w:pPr>
      <w:r>
        <w:rPr>
          <w:color w:val="555555"/>
          <w:sz w:val="24"/>
          <w:szCs w:val="24"/>
        </w:rPr>
        <w:t xml:space="preserve">Forex Fear &amp; Greed Index — USD/JPY ほか6通貨ペア対応・全要素の計算式と数値例</w:t>
      </w:r>
    </w:p>
    <w:p>
      <w:pPr>
        <w:pBdr>
          <w:bottom w:val="single" w:color="1F3A93" w:sz="12" w:space="4"/>
        </w:pBdr>
        <w:spacing w:after="300"/>
      </w:pPr>
      <w:r>
        <w:rPr>
          <w:color w:val="777777"/>
          <w:sz w:val="20"/>
          <w:szCs w:val="20"/>
        </w:rPr>
        <w:t xml:space="preserve">作成日: 2026年7月2日　／　作成: Forex Fear &amp; Greed プロジェクト</w:t>
      </w:r>
    </w:p>
    <w:p>
      <w:pPr>
        <w:pStyle w:val="Heading1"/>
      </w:pPr>
      <w:r>
        <w:t xml:space="preserve">1. 本資料について</w:t>
      </w:r>
    </w:p>
    <w:p>
      <w:pPr>
        <w:spacing w:after="120" w:line="300"/>
      </w:pPr>
      <w:r>
        <w:t xml:space="preserve">本資料は、CNN の株式版 Fear &amp; Greed Index の枠組みを</w:t>
      </w:r>
      <w:r>
        <w:rPr>
          <w:b/>
          <w:bCs/>
        </w:rPr>
        <w:t xml:space="preserve">為替(FX)市場に翻案した「為替版 Fear &amp; Greed Index」</w:t>
      </w:r>
      <w:r>
        <w:t xml:space="preserve">の算出方法を、計算式・数値例つきで解説するものである。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対象: 通貨ペアのリスクオン/リスクオフ心理を 0〜100 の1つの数値で表す独自指数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対応ペア: USD/JPY・EUR/JPY・GBP/JPY・AUD/JPY・EUR/USD・GBP/USD(6ペア)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使用データ: すべて無料・APIキー不要(一部任意)。詳細は第9章</w:t>
      </w:r>
    </w:p>
    <w:p>
      <w:pPr>
        <w:pStyle w:val="Heading1"/>
      </w:pPr>
      <w:r>
        <w:t xml:space="preserve">2. 符号規約(最重要): リスク選好型</w:t>
      </w:r>
    </w:p>
    <w:p>
      <w:pPr>
        <w:spacing w:after="120" w:line="300"/>
      </w:pPr>
      <w:r>
        <w:t xml:space="preserve">円は</w:t>
      </w:r>
      <w:r>
        <w:rPr>
          <w:b/>
          <w:bCs/>
        </w:rPr>
        <w:t xml:space="preserve">安全通貨(セーフヘイブン)</w:t>
      </w:r>
      <w:r>
        <w:t xml:space="preserve">であるため、世界的な恐怖(リスクオフ)は円高を生む。これは株式の「恐怖=株価下落」とは方向が異なるため、指数の向きを最初に明確に定義する。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326"/>
      </w:tblGrid>
      <w:tr>
        <w:trPr>
          <w:tblHeader/>
        </w:trPr>
        <w:tc>
          <w:tcPr>
            <w:tcW w:type="dxa" w:w="2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スコア</w:t>
            </w:r>
          </w:p>
        </w:tc>
        <w:tc>
          <w:tcPr>
            <w:tcW w:type="dxa" w:w="26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市場心理</w:t>
            </w:r>
          </w:p>
        </w:tc>
        <w:tc>
          <w:tcPr>
            <w:tcW w:type="dxa" w:w="4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為替への含意(USD/JPY の例)</w:t>
            </w:r>
          </w:p>
        </w:tc>
      </w:tr>
      <w:tr>
        <w:tc>
          <w:tcPr>
            <w:tcW w:type="dxa" w:w="2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0(Extreme Fear)</w:t>
            </w:r>
          </w:p>
        </w:tc>
        <w:tc>
          <w:tcPr>
            <w:tcW w:type="dxa" w:w="26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リスクオフ</w:t>
            </w:r>
          </w:p>
        </w:tc>
        <w:tc>
          <w:tcPr>
            <w:tcW w:type="dxa" w:w="4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円高/USD/JPY 下落/キャリー巻き戻し</w:t>
            </w:r>
          </w:p>
        </w:tc>
      </w:tr>
      <w:tr>
        <w:tc>
          <w:tcPr>
            <w:tcW w:type="dxa" w:w="2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50(Neutral)</w:t>
            </w:r>
          </w:p>
        </w:tc>
        <w:tc>
          <w:tcPr>
            <w:tcW w:type="dxa" w:w="26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中立</w:t>
            </w:r>
          </w:p>
        </w:tc>
        <w:tc>
          <w:tcPr>
            <w:tcW w:type="dxa" w:w="4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方向感なし</w:t>
            </w:r>
          </w:p>
        </w:tc>
      </w:tr>
      <w:tr>
        <w:tc>
          <w:tcPr>
            <w:tcW w:type="dxa" w:w="2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100(Extreme Greed)</w:t>
            </w:r>
          </w:p>
        </w:tc>
        <w:tc>
          <w:tcPr>
            <w:tcW w:type="dxa" w:w="26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リスクオン</w:t>
            </w:r>
          </w:p>
        </w:tc>
        <w:tc>
          <w:tcPr>
            <w:tcW w:type="dxa" w:w="4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円安/USD/JPY 上昇/キャリー過熱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全7要素を「</w:t>
      </w:r>
      <w:r>
        <w:rPr>
          <w:b/>
          <w:bCs/>
        </w:rPr>
        <w:t xml:space="preserve">高スコア = Greed = リスク選好 = ペア上昇圧力</w:t>
      </w:r>
      <w:r>
        <w:t xml:space="preserve">」に統一する(必要な要素は内部で反転)。副次効果として、</w:t>
      </w:r>
      <w:r>
        <w:rPr>
          <w:b/>
          <w:bCs/>
        </w:rPr>
        <w:t xml:space="preserve">極端な強欲(76〜100)は「キャリー過熱・反転リスク」の警告</w:t>
      </w:r>
      <w:r>
        <w:t xml:space="preserve">としても機能する。過去の巻き戻し(2024年8月など)は、極端な円ネットショートの積み上がりの後に発生した。</w:t>
      </w:r>
    </w:p>
    <w:p>
      <w:pPr>
        <w:pStyle w:val="Heading1"/>
      </w:pPr>
      <w:r>
        <w:t xml:space="preserve">3. 正規化: ローリング・パーセンタイル</w:t>
      </w:r>
    </w:p>
    <w:p>
      <w:pPr>
        <w:spacing w:after="120" w:line="300"/>
      </w:pPr>
      <w:r>
        <w:t xml:space="preserve">各要素の生シグナルを 0〜100 スコアへ変換する方法として、</w:t>
      </w:r>
      <w:r>
        <w:rPr>
          <w:b/>
          <w:bCs/>
        </w:rPr>
        <w:t xml:space="preserve">trailing percentile(直近252営業日=約1年における順位の百分率)</w:t>
      </w:r>
      <w:r>
        <w:t xml:space="preserve">を採用する。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percentile_t = 100 × (現在値を下回る数 + 0.5 × 同値数) / 有効データ数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窓(window)        : 252 営業日(約1年)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最小データ数        : 60 営業日(これ未満の期間は NaN)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反転が必要な要素     : score = 100 - percentile</w:t>
      </w:r>
    </w:p>
    <w:p>
      <w:pPr>
        <w:spacing w:after="60"/>
      </w:pPr>
    </w:p>
    <w:p>
      <w:pPr>
        <w:pStyle w:val="Heading3"/>
      </w:pPr>
      <w:r>
        <w:t xml:space="preserve">z-score ではなくパーセンタイルを使う理由</w:t>
      </w:r>
    </w:p>
    <w:p>
      <w:pPr>
        <w:spacing w:after="120" w:line="300"/>
      </w:pPr>
      <w:r>
        <w:t xml:space="preserve">z-score は標準偏差を使うため分布の形に敏感で、為替市場で頻繁に起きる</w:t>
      </w:r>
      <w:r>
        <w:rPr>
          <w:b/>
          <w:bCs/>
        </w:rPr>
        <w:t xml:space="preserve">レジーム変化</w:t>
      </w:r>
      <w:r>
        <w:t xml:space="preserve">(例: 日米金利差が 2022〜2024年の約525bp から 2026年には約250〜300bp へ圧縮)の後、「新しい普通」を長期間「異常」と誤判定してしまう。パーセンタイルは順位のみを見るため、レジーム変化に頑健である。また、未来のデータを一切参照しない(leak-free)。</w:t>
      </w:r>
    </w:p>
    <w:p>
      <w:pPr>
        <w:pStyle w:val="Heading1"/>
      </w:pPr>
      <w:r>
        <w:t xml:space="preserve">4. 7つの構成要素(一覧)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900"/>
        <w:gridCol w:w="900"/>
        <w:gridCol w:w="4226"/>
      </w:tblGrid>
      <w:tr>
        <w:trPr>
          <w:tblHeader/>
        </w:trPr>
        <w:tc>
          <w:tcPr>
            <w:tcW w:type="dxa" w:w="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重み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反転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生シグナル</w:t>
            </w:r>
          </w:p>
        </w:tc>
      </w:tr>
      <w:tr>
        <w:tc>
          <w:tcPr>
            <w:tcW w:type="dxa" w:w="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モメンタム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なし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(価格 − MA125) / MA125</w:t>
            </w:r>
          </w:p>
        </w:tc>
      </w:tr>
      <w:tr>
        <w:tc>
          <w:tcPr>
            <w:tcW w:type="dxa" w:w="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52週レンジ位置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なし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(価格 − 安値) / (高値 − 安値) × 100</w:t>
            </w:r>
          </w:p>
        </w:tc>
      </w:tr>
      <w:tr>
        <w:tc>
          <w:tcPr>
            <w:tcW w:type="dxa" w:w="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実現ボラ(通貨VIX)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あり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20日 log リターン標準偏差 × √252</w:t>
            </w:r>
          </w:p>
        </w:tc>
      </w:tr>
      <w:tr>
        <w:tc>
          <w:tcPr>
            <w:tcW w:type="dxa" w:w="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金利差&amp;勢い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なし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(base − quote) 2Y/10Y の水準と60日変化</w:t>
            </w:r>
          </w:p>
        </w:tc>
      </w:tr>
      <w:tr>
        <w:tc>
          <w:tcPr>
            <w:tcW w:type="dxa" w:w="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クロスアセット・リスク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0.14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なし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AUDJPY・日経・S&amp;P モメンタム + VIX(内部反転)</w:t>
            </w:r>
          </w:p>
        </w:tc>
      </w:tr>
      <w:tr>
        <w:tc>
          <w:tcPr>
            <w:tcW w:type="dxa" w:w="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投機筋ポジション(COT)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なし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ペア符号付きネット建玉(+base −quote)</w:t>
            </w:r>
          </w:p>
        </w:tc>
      </w:tr>
      <w:tr>
        <w:tc>
          <w:tcPr>
            <w:tcW w:type="dxa" w:w="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JPY-strength breadth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なし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クロス円のうち上昇(円安)している割合 ※JPYペアのみ</w:t>
            </w:r>
          </w:p>
        </w:tc>
      </w:tr>
    </w:tbl>
    <w:p>
      <w:pPr>
        <w:spacing w:after="120"/>
      </w:pPr>
    </w:p>
    <w:p>
      <w:pPr>
        <w:spacing w:after="120" w:line="280"/>
        <w:ind w:left="240"/>
      </w:pPr>
      <w:r>
        <w:rPr>
          <w:color w:val="666666"/>
          <w:sz w:val="19"/>
          <w:szCs w:val="19"/>
        </w:rPr>
        <w:t xml:space="preserve">※ 重みの合計は 1.00。取得できない要素がある場合は、その要素を除いて重みを自動再正規化する(第6章)。</w:t>
      </w:r>
    </w:p>
    <w:p>
      <w:pPr>
        <w:pStyle w:val="Heading1"/>
      </w:pPr>
      <w:r>
        <w:t xml:space="preserve">5. 各構成要素の詳細</w:t>
      </w:r>
    </w:p>
    <w:p>
      <w:pPr>
        <w:pStyle w:val="Heading2"/>
      </w:pPr>
      <w:r>
        <w:t xml:space="preserve">5.1　モメンタム(重み 0.18)</w:t>
      </w:r>
    </w:p>
    <w:p>
      <w:pPr>
        <w:spacing w:after="120" w:line="300"/>
      </w:pPr>
      <w:r>
        <w:t xml:space="preserve">CNN の Market Momentum の直接翻案。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raw = (price - MA125) / MA125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score = percentile(raw, 252日)          ※ 反転なし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解釈: </w:t>
      </w:r>
      <w:r>
        <w:t xml:space="preserve">価格が125日移動平均を大きく上回る → 上昇トレンド → リスクオン → 高スコア(Greed)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データ源: </w:t>
      </w:r>
      <w:r>
        <w:t xml:space="preserve">yfinance(日次終値)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数値例: USD/JPY = 155, MA125 = 150 の場合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raw = (155 - 150) / 150 = 0.0333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この値が直近1年で上位20%の水準なら score ≒ 80(強欲)</w:t>
      </w:r>
    </w:p>
    <w:p>
      <w:pPr>
        <w:spacing w:after="60"/>
      </w:pPr>
    </w:p>
    <w:p>
      <w:pPr>
        <w:pStyle w:val="Heading2"/>
      </w:pPr>
      <w:r>
        <w:t xml:space="preserve">5.2　52週レンジ位置(重み 0.12)</w:t>
      </w:r>
    </w:p>
    <w:p>
      <w:pPr>
        <w:spacing w:after="120" w:line="300"/>
      </w:pPr>
      <w:r>
        <w:t xml:space="preserve">CNN の Stock Price Strength の翻案。個別銘柄の新高値/新安値を数える代わりに、ペア自体の年間レンジ内の位置を使う。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score = (price - 252日安値) / (252日高値 - 252日安値) × 100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※ 既に 0-100 なのでパーセンタイル化は行わない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解釈: </w:t>
      </w:r>
      <w:r>
        <w:t xml:space="preserve">年初来高値圏 = 円安進行中 → 高スコア(Greed)。年初来安値圏 = 円高進行中 → 低スコア(Fear)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数値例: USD/JPY = 155, 高値 = 161, 安値 = 140 の場合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score = (155 - 140) / (161 - 140) × 100 = 71.4(強欲)</w:t>
      </w:r>
    </w:p>
    <w:p>
      <w:pPr>
        <w:spacing w:after="60"/>
      </w:pPr>
    </w:p>
    <w:p>
      <w:pPr>
        <w:pStyle w:val="Heading2"/>
      </w:pPr>
      <w:r>
        <w:t xml:space="preserve">5.3　実現ボラティリティ/通貨VIX(重み 0.18・反転)</w:t>
      </w:r>
    </w:p>
    <w:p>
      <w:pPr>
        <w:spacing w:after="120" w:line="300"/>
      </w:pPr>
      <w:r>
        <w:t xml:space="preserve">CNN の Market Volatility(VIX)の翻案。FX には無料のインプライド・ボラティリティ源が存在しないため(CBOE JYVIX は実質終了、CVIX/VXY は有料端末限定)、</w:t>
      </w:r>
      <w:r>
        <w:rPr>
          <w:b/>
          <w:bCs/>
        </w:rPr>
        <w:t xml:space="preserve">実現ボラティリティ</w:t>
      </w:r>
      <w:r>
        <w:t xml:space="preserve">で代用する。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RV20 = stdev(日次 log リターン, 20日) × √252   (年率換算)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score = 100 - percentile(RV20, 252日)          ※ 反転あり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解釈: </w:t>
      </w:r>
      <w:r>
        <w:t xml:space="preserve">高ボラ = 市場の動揺 = 恐怖 → 反転して低スコア。低ボラ = 穏やか = リスクオン → 高スコア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限界: </w:t>
      </w:r>
      <w:r>
        <w:t xml:space="preserve">終値ベースのため日中の急変動を過小評価しがち/実現(後ろ向き)でありインプライド(先読み)ではない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数値例: RV20 = 12.5%(年率)が直近1年で上位90%なら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percentile = 90 → score = 100 - 90 = 10(恐怖)</w:t>
      </w:r>
    </w:p>
    <w:p>
      <w:pPr>
        <w:spacing w:after="60"/>
      </w:pPr>
    </w:p>
    <w:p>
      <w:pPr>
        <w:pStyle w:val="Heading2"/>
      </w:pPr>
      <w:r>
        <w:t xml:space="preserve">5.4　金利差&amp;勢い(重み 0.18)</w:t>
      </w:r>
    </w:p>
    <w:p>
      <w:pPr>
        <w:spacing w:after="120" w:line="300"/>
      </w:pPr>
      <w:r>
        <w:t xml:space="preserve">CNN の Safe Haven Demand と Junk Bond Demand を、為替の最大の駆動力の一つである</w:t>
      </w:r>
      <w:r>
        <w:rPr>
          <w:b/>
          <w:bCs/>
        </w:rPr>
        <w:t xml:space="preserve">キャリー(金利差)</w:t>
      </w:r>
      <w:r>
        <w:t xml:space="preserve">の観点で翻案したもの。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diff = base通貨の利回り - quote通貨の利回り  (2Y と 10Y の2テナー)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score = 以下4サブスコアの平均: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① percentile(10Y金利差の水準)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② percentile(10Y金利差の60日変化)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③ percentile(2Y金利差の水準)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④ percentile(2Y金利差の60日変化)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解釈: </w:t>
      </w:r>
      <w:r>
        <w:t xml:space="preserve">金利差が大きい/拡大中 → キャリーが魅力的 → ペア上昇支援 → 高スコア(Greed)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2Y と 10Y の役割: </w:t>
      </w:r>
      <w:r>
        <w:t xml:space="preserve">2Y = 政策金利期待、10Y = 期間プレミアム・実質金利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フォールバック: </w:t>
      </w:r>
      <w:r>
        <w:t xml:space="preserve">quote 側の利回りが取得できない場合は base 単独(絶対水準)で代用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数値例: 米10Y = 4.5%, 日10Y = 1.2% → 金利差 = 3.3%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水準 3.3% が直近1年で上位60% → level_score = 60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60日前の金利差 3.0% → 変化 +0.3% が上位70% → roc_score = 70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10Y サブスコア = (60 + 70) / 2 = 65(2Y も同様に計算して平均)</w:t>
      </w:r>
    </w:p>
    <w:p>
      <w:pPr>
        <w:spacing w:after="60"/>
      </w:pPr>
    </w:p>
    <w:p>
      <w:pPr>
        <w:pStyle w:val="Heading2"/>
      </w:pPr>
      <w:r>
        <w:t xml:space="preserve">5.5　クロスアセット・リスク(重み 0.14)</w:t>
      </w:r>
    </w:p>
    <w:p>
      <w:pPr>
        <w:spacing w:after="120" w:line="300"/>
      </w:pPr>
      <w:r>
        <w:t xml:space="preserve">株式・ボラティリティ・リスク通貨を横断的に見て、グローバルなリスク選好度を測る。全ペア共通の要素。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score = 以下4サブスコアの平均: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① percentile((AUDJPY - MA60) / MA60)      リスクの先行指標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② percentile((日経225 - MA125) / MA125)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③ percentile((S&amp;P500 - MA125) / MA125)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④ 100 - percentile(VIX)                   ※VIXのみ内部反転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解釈: </w:t>
      </w:r>
      <w:r>
        <w:t xml:space="preserve">AUDJPY・日経・S&amp;P が好調 + VIX が低い → リスクオン → 円安要因 → 高スコア(Greed)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AUD/JPY を使う理由: </w:t>
      </w:r>
      <w:r>
        <w:t xml:space="preserve">高金利通貨(AUD)/安全通貨(JPY)の組み合わせで、市場のリスク選好に最も敏感に反応するため</w:t>
      </w:r>
    </w:p>
    <w:p>
      <w:pPr>
        <w:pStyle w:val="Heading2"/>
      </w:pPr>
      <w:r>
        <w:t xml:space="preserve">5.6　投機筋ポジション/COT(重み 0.10)</w:t>
      </w:r>
    </w:p>
    <w:p>
      <w:pPr>
        <w:spacing w:after="120" w:line="300"/>
      </w:pPr>
      <w:r>
        <w:t xml:space="preserve">CNN にはない為替固有の要素。CFTC(米商品先物取引委員会)の COT レポートから、投機筋(非商業部門)のポジションを使う。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各通貨のネット = 非商業ロング - 非商業ショート  (CME通貨先物、対USD)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cot_signal = (+base通貨のネット) + (-quote通貨のネット)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※ USD は numeraire(先物なし)のため寄与ゼロ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USD/JPY の例: cot_signal = -JPYネット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  (円ネットショート = キャリー過熱 → 正の値 = greed)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EUR/JPY の例: cot_signal = +EURネット - JPYネット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score = percentile(cot_signal, 156週 = 約3年)   ※ 反転なし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解釈: </w:t>
      </w:r>
      <w:r>
        <w:t xml:space="preserve">投機筋がペア上昇方向に大きく賭けている → 高スコア(Greed)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窓が3年である理由: </w:t>
      </w:r>
      <w:r>
        <w:t xml:space="preserve">COT は週次データのため、日次要素の1年窓より長い窓で分布を安定させる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注意点: </w:t>
      </w:r>
      <w:r>
        <w:t xml:space="preserve">週次かつ公表ラグあり(火曜基準→金曜公表)。極端なスコア(95以上)は反転リスクの警告として読むべき(2024年7月に約99 → 8月に巻き戻し)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数値例: JPYネット = -100,000枚(投機筋が円を10万枚ショート)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cot_signal = -(-100,000) = +100,000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直近3年で上位95%なら score = 95(極度の強欲 = 反転警告)</w:t>
      </w:r>
    </w:p>
    <w:p>
      <w:pPr>
        <w:spacing w:after="60"/>
      </w:pPr>
    </w:p>
    <w:p>
      <w:pPr>
        <w:pStyle w:val="Heading2"/>
      </w:pPr>
      <w:r>
        <w:t xml:space="preserve">5.7　JPY-strength breadth(重み 0.10・JPYクロスのみ)</w:t>
      </w:r>
    </w:p>
    <w:p>
      <w:pPr>
        <w:spacing w:after="120" w:line="300"/>
      </w:pPr>
      <w:r>
        <w:t xml:space="preserve">CNN の Stock Price Breadth の翻案。個別銘柄の出来高の幅の代わりに、クロス円バスケットの「上昇の広がり」を見る。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バスケット: USDJPY, EURJPY, GBPJPY, AUDJPY, CADJPY, CHFJPY(6ペア)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breadth_pct = 20日モメンタムが正(円安方向)のペア数 / 6   (0-1)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score = percentile(breadth_pct, 252日)          ※ 反転なし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解釈: </w:t>
      </w:r>
      <w:r>
        <w:t xml:space="preserve">多くのクロス円が上昇 → 広範な円安 → リスクオン → 高スコア(Greed)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適用範囲: </w:t>
      </w:r>
      <w:r>
        <w:t xml:space="preserve">JPY クロス(USDJPY/EURJPY/GBPJPY/AUDJPY)のみ。EURUSD・GBPUSD では NaN となり、重み再正規化で自動除外される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数値例: 6ペア中4ペアが上昇している場合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breadth_pct = 4 / 6 = 0.667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直近1年で上位75%なら score = 75(強欲)</w:t>
      </w:r>
    </w:p>
    <w:p>
      <w:pPr>
        <w:spacing w:after="60"/>
      </w:pPr>
    </w:p>
    <w:p>
      <w:pPr>
        <w:pStyle w:val="Heading1"/>
      </w:pPr>
      <w:r>
        <w:t xml:space="preserve">6. 集約: 加重平均と重みの再正規化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FearGreed_t = Σ(w_i × score_i) / Σ(w_i)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※ その時点で利用可能(非NaN)な要素のみで計算</w:t>
      </w:r>
    </w:p>
    <w:p>
      <w:pPr>
        <w:spacing w:after="60"/>
      </w:pPr>
    </w:p>
    <w:p>
      <w:pPr>
        <w:spacing w:after="120" w:line="300"/>
      </w:pPr>
      <w:r>
        <w:t xml:space="preserve">ある要素が欠損(NaN)している時点では、その要素を分子・分母の両方から除外し、残りの要素の重みだけで計算する(</w:t>
      </w:r>
      <w:r>
        <w:rPr>
          <w:b/>
          <w:bCs/>
        </w:rPr>
        <w:t xml:space="preserve">重みの自動再正規化</w:t>
      </w:r>
      <w:r>
        <w:t xml:space="preserve">)。これにより、FRED キーが無く金利差が取れないペアや、breadth が適用されないペアでも指数は正しく算出される。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例: EUR/USD で breadth(0.10)が NaN の場合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利用可能な重みの合計 = 0.18+0.12+0.18+0.18+0.14+0.10 = 0.90</w:t>
      </w:r>
    </w:p>
    <w:p>
      <w:pPr>
        <w:pBdr>
          <w:left w:val="single" w:color="1F3A93" w:sz="16" w:space="8"/>
        </w:pBdr>
        <w:shd w:fill="F4F6FA" w:val="clear"/>
        <w:spacing w:after="0" w:line="276"/>
        <w:ind w:left="360" w:right="360"/>
      </w:pPr>
      <w:r>
        <w:rPr>
          <w:rFonts w:ascii="Consolas" w:eastAsia="Yu Gothic" w:hAnsi="Consolas"/>
          <w:sz w:val="19"/>
          <w:szCs w:val="19"/>
        </w:rPr>
        <w:t xml:space="preserve">  FearGreed = (各スコア × 各重み の合計) / 0.90</w:t>
      </w:r>
    </w:p>
    <w:p>
      <w:pPr>
        <w:spacing w:after="60"/>
      </w:pPr>
    </w:p>
    <w:p>
      <w:pPr>
        <w:pStyle w:val="Heading3"/>
      </w:pPr>
      <w:r>
        <w:t xml:space="preserve">重み設計の考え方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重み</w:t>
            </w:r>
          </w:p>
        </w:tc>
        <w:tc>
          <w:tcPr>
            <w:tcW w:type="dxa" w:w="3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要素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理由</w:t>
            </w:r>
          </w:p>
        </w:tc>
      </w:tr>
      <w:tr>
        <w:tc>
          <w:tcPr>
            <w:tcW w:type="dxa" w:w="1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0.18(最大)</w:t>
            </w:r>
          </w:p>
        </w:tc>
        <w:tc>
          <w:tcPr>
            <w:tcW w:type="dxa" w:w="3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モメンタム/実現ボラ/金利差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為替の主要駆動力(トレンド・ボラ・キャリー)</w:t>
            </w:r>
          </w:p>
        </w:tc>
      </w:tr>
      <w:tr>
        <w:tc>
          <w:tcPr>
            <w:tcW w:type="dxa" w:w="1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0.14</w:t>
            </w:r>
          </w:p>
        </w:tc>
        <w:tc>
          <w:tcPr>
            <w:tcW w:type="dxa" w:w="3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クロスアセット・リスク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グローバル要因だが、ペア直接の要因ではない</w:t>
            </w:r>
          </w:p>
        </w:tc>
      </w:tr>
      <w:tr>
        <w:tc>
          <w:tcPr>
            <w:tcW w:type="dxa" w:w="1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0.12</w:t>
            </w:r>
          </w:p>
        </w:tc>
        <w:tc>
          <w:tcPr>
            <w:tcW w:type="dxa" w:w="3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52週レンジ位置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モメンタムと相関が高い(冗長性の割引)</w:t>
            </w:r>
          </w:p>
        </w:tc>
      </w:tr>
      <w:tr>
        <w:tc>
          <w:tcPr>
            <w:tcW w:type="dxa" w:w="1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0.10(最小)</w:t>
            </w:r>
          </w:p>
        </w:tc>
        <w:tc>
          <w:tcPr>
            <w:tcW w:type="dxa" w:w="34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COT/breadth</w:t>
            </w:r>
          </w:p>
        </w:tc>
        <w:tc>
          <w:tcPr>
            <w:tcW w:type="dxa" w:w="42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更新頻度が低い(週次)/適用範囲が限定的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判定ラベル</w:t>
      </w:r>
    </w:p>
    <w:p>
      <w:pPr>
        <w:spacing w:after="120" w:line="300"/>
      </w:pPr>
      <w:r>
        <w:t xml:space="preserve">CNN と同じバンドを使用する。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スコア範囲</w:t>
            </w:r>
          </w:p>
        </w:tc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英語ラベル</w:t>
            </w:r>
          </w:p>
        </w:tc>
        <w:tc>
          <w:tcPr>
            <w:tcW w:type="dxa" w:w="3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日本語(為替の文脈)</w:t>
            </w:r>
          </w:p>
        </w:tc>
      </w:tr>
      <w:tr>
        <w:tc>
          <w:tcPr>
            <w:tcW w:type="dxa" w:w="2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0〜24</w:t>
            </w:r>
          </w:p>
        </w:tc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Extreme Fear</w:t>
            </w:r>
          </w:p>
        </w:tc>
        <w:tc>
          <w:tcPr>
            <w:tcW w:type="dxa" w:w="3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極度の恐怖(リスクオフ・円高)</w:t>
            </w:r>
          </w:p>
        </w:tc>
      </w:tr>
      <w:tr>
        <w:tc>
          <w:tcPr>
            <w:tcW w:type="dxa" w:w="2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25〜44</w:t>
            </w:r>
          </w:p>
        </w:tc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Fear</w:t>
            </w:r>
          </w:p>
        </w:tc>
        <w:tc>
          <w:tcPr>
            <w:tcW w:type="dxa" w:w="3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恐怖</w:t>
            </w:r>
          </w:p>
        </w:tc>
      </w:tr>
      <w:tr>
        <w:tc>
          <w:tcPr>
            <w:tcW w:type="dxa" w:w="2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45〜55</w:t>
            </w:r>
          </w:p>
        </w:tc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Neutral</w:t>
            </w:r>
          </w:p>
        </w:tc>
        <w:tc>
          <w:tcPr>
            <w:tcW w:type="dxa" w:w="3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中立</w:t>
            </w:r>
          </w:p>
        </w:tc>
      </w:tr>
      <w:tr>
        <w:tc>
          <w:tcPr>
            <w:tcW w:type="dxa" w:w="2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56〜75</w:t>
            </w:r>
          </w:p>
        </w:tc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Greed</w:t>
            </w:r>
          </w:p>
        </w:tc>
        <w:tc>
          <w:tcPr>
            <w:tcW w:type="dxa" w:w="3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強欲</w:t>
            </w:r>
          </w:p>
        </w:tc>
      </w:tr>
      <w:tr>
        <w:tc>
          <w:tcPr>
            <w:tcW w:type="dxa" w:w="2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76〜100</w:t>
            </w:r>
          </w:p>
        </w:tc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Extreme Greed</w:t>
            </w:r>
          </w:p>
        </w:tc>
        <w:tc>
          <w:tcPr>
            <w:tcW w:type="dxa" w:w="3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極度の強欲(リスクオン・円安・キャリー過熱警告)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通貨VIX(実現ボラゲージ)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主指標: </w:t>
      </w:r>
      <w:r>
        <w:t xml:space="preserve">RV20(20日年率実現ボラティリティ)を%表示。第5.3節の要素と同一の値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文脈表示: </w:t>
      </w:r>
      <w:r>
        <w:t xml:space="preserve">株式の VIX(^VIX)を副線としてオーバーレイ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状態ラベル: </w:t>
      </w:r>
      <w:r>
        <w:t xml:space="preserve">1年パーセンタイルに応じて「落ち着き(&lt;33%)/通常/ストレス(&gt;66%)」の3段階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限界: </w:t>
      </w:r>
      <w:r>
        <w:t xml:space="preserve">無料の FX インプライドボラ源が存在しないための代替。有料フィード導入時は1Mインプライドボラへの差し替えが望ましい</w:t>
      </w:r>
    </w:p>
    <w:p>
      <w:pPr>
        <w:pStyle w:val="Heading1"/>
      </w:pPr>
      <w:r>
        <w:t xml:space="preserve">9. データ源(すべて無料)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500"/>
        <w:gridCol w:w="1200"/>
        <w:gridCol w:w="1100"/>
        <w:gridCol w:w="1326"/>
      </w:tblGrid>
      <w:tr>
        <w:trPr>
          <w:tblHeader/>
        </w:trPr>
        <w:tc>
          <w:tcPr>
            <w:tcW w:type="dxa" w:w="2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データ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源</w:t>
            </w:r>
          </w:p>
        </w:tc>
        <w:tc>
          <w:tcPr>
            <w:tcW w:type="dxa" w:w="1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キー</w:t>
            </w:r>
          </w:p>
        </w:tc>
        <w:tc>
          <w:tcPr>
            <w:tcW w:type="dxa" w:w="1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頻度</w:t>
            </w:r>
          </w:p>
        </w:tc>
        <w:tc>
          <w:tcPr>
            <w:tcW w:type="dxa" w:w="1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備考</w:t>
            </w:r>
          </w:p>
        </w:tc>
      </w:tr>
      <w:tr>
        <w:tc>
          <w:tcPr>
            <w:tcW w:type="dxa" w:w="2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為替レート(6ペア)・VIX・日経・S&amp;P・金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yfinance</w:t>
            </w:r>
          </w:p>
        </w:tc>
        <w:tc>
          <w:tcPr>
            <w:tcW w:type="dxa" w:w="1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不要</w:t>
            </w:r>
          </w:p>
        </w:tc>
        <w:tc>
          <w:tcPr>
            <w:tcW w:type="dxa" w:w="1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日次</w:t>
            </w:r>
          </w:p>
        </w:tc>
        <w:tc>
          <w:tcPr>
            <w:tcW w:type="dxa" w:w="1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終値</w:t>
            </w:r>
          </w:p>
        </w:tc>
      </w:tr>
      <w:tr>
        <w:tc>
          <w:tcPr>
            <w:tcW w:type="dxa" w:w="2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米国債利回り(2Y/10Y)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米財務省 日次CSV</w:t>
            </w:r>
          </w:p>
        </w:tc>
        <w:tc>
          <w:tcPr>
            <w:tcW w:type="dxa" w:w="1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不要</w:t>
            </w:r>
          </w:p>
        </w:tc>
        <w:tc>
          <w:tcPr>
            <w:tcW w:type="dxa" w:w="1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日次</w:t>
            </w:r>
          </w:p>
        </w:tc>
        <w:tc>
          <w:tcPr>
            <w:tcW w:type="dxa" w:w="1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年別CSV結合</w:t>
            </w:r>
          </w:p>
        </w:tc>
      </w:tr>
      <w:tr>
        <w:tc>
          <w:tcPr>
            <w:tcW w:type="dxa" w:w="2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日本国債利回り(2年/10年)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財務省(MoF)CSV</w:t>
            </w:r>
          </w:p>
        </w:tc>
        <w:tc>
          <w:tcPr>
            <w:tcW w:type="dxa" w:w="1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不要</w:t>
            </w:r>
          </w:p>
        </w:tc>
        <w:tc>
          <w:tcPr>
            <w:tcW w:type="dxa" w:w="1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日次</w:t>
            </w:r>
          </w:p>
        </w:tc>
        <w:tc>
          <w:tcPr>
            <w:tcW w:type="dxa" w:w="1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cp932・和暦</w:t>
            </w:r>
          </w:p>
        </w:tc>
      </w:tr>
      <w:tr>
        <w:tc>
          <w:tcPr>
            <w:tcW w:type="dxa" w:w="2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投機筋建玉(COT)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CFTC Socrata API</w:t>
            </w:r>
          </w:p>
        </w:tc>
        <w:tc>
          <w:tcPr>
            <w:tcW w:type="dxa" w:w="1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不要</w:t>
            </w:r>
          </w:p>
        </w:tc>
        <w:tc>
          <w:tcPr>
            <w:tcW w:type="dxa" w:w="1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週次</w:t>
            </w:r>
          </w:p>
        </w:tc>
        <w:tc>
          <w:tcPr>
            <w:tcW w:type="dxa" w:w="1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非商業ネット</w:t>
            </w:r>
          </w:p>
        </w:tc>
      </w:tr>
      <w:tr>
        <w:tc>
          <w:tcPr>
            <w:tcW w:type="dxa" w:w="29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EUR/GBP/AUD 利回り</w:t>
            </w:r>
          </w:p>
        </w:tc>
        <w:tc>
          <w:tcPr>
            <w:tcW w:type="dxa" w:w="25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FRED API</w:t>
            </w:r>
          </w:p>
        </w:tc>
        <w:tc>
          <w:tcPr>
            <w:tcW w:type="dxa" w:w="1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任意</w:t>
            </w:r>
          </w:p>
        </w:tc>
        <w:tc>
          <w:tcPr>
            <w:tcW w:type="dxa" w:w="11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月次</w:t>
            </w:r>
          </w:p>
        </w:tc>
        <w:tc>
          <w:tcPr>
            <w:tcW w:type="dxa" w:w="13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無料キー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欠損時の補間(ffill)上限: </w:t>
      </w:r>
      <w:r>
        <w:t xml:space="preserve">価格5日(休場対応)/金利45日(月次データ対応)/COT 10日(週次→日次展開)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</w:rPr>
        <w:t xml:space="preserve">FRED キーの効果: </w:t>
      </w:r>
      <w:r>
        <w:t xml:space="preserve">EUR/GBP/AUD を含むペアの金利差要素が有効化される。無くても該当要素が除外されるだけで指数は算出される</w:t>
      </w:r>
    </w:p>
    <w:p>
      <w:pPr>
        <w:pStyle w:val="Heading1"/>
      </w:pPr>
      <w:r>
        <w:t xml:space="preserve">10. 検証結果: 2024年8月キャリー巻き戻し</w:t>
      </w:r>
    </w:p>
    <w:p>
      <w:pPr>
        <w:spacing w:after="120" w:line="300"/>
      </w:pPr>
      <w:r>
        <w:t xml:space="preserve">2019〜2026年のデータで指数を再構成し、符号規約の妥当性を検証した。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50"/>
        <w:gridCol w:w="1450"/>
        <w:gridCol w:w="1450"/>
        <w:gridCol w:w="1450"/>
        <w:gridCol w:w="1526"/>
      </w:tblGrid>
      <w:tr>
        <w:trPr>
          <w:tblHeader/>
        </w:trP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時期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F&amp;G指数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USD/JPY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COTスコア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実現ボラ</w:t>
            </w:r>
          </w:p>
        </w:tc>
        <w:tc>
          <w:tcPr>
            <w:tcW w:type="dxa" w:w="15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解釈</w:t>
            </w:r>
          </w:p>
        </w:tc>
      </w:tr>
      <w:t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2024年7月初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≒78(強欲)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≒161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≒99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≒8.8%</w:t>
            </w:r>
          </w:p>
        </w:tc>
        <w:tc>
          <w:tcPr>
            <w:tcW w:type="dxa" w:w="15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キャリー過熱・警告</w:t>
            </w:r>
          </w:p>
        </w:tc>
      </w:tr>
      <w:t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2024年8月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≒7〜12(極度の恐怖)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≒142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≒0.1</w:t>
            </w:r>
          </w:p>
        </w:tc>
        <w:tc>
          <w:tcPr>
            <w:tcW w:type="dxa" w:w="145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≒15%</w:t>
            </w:r>
          </w:p>
        </w:tc>
        <w:tc>
          <w:tcPr>
            <w:tcW w:type="dxa" w:w="15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パニック・投げ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指数は「リスクオフ = 円高 = 恐怖」を正しく捉えた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急落の前に COT スコア ≒99(極端な円ショート)が反転リスクの警告として点灯していた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COVID ショック(2020年3月)でも極度の恐怖を記録</w:t>
      </w:r>
    </w:p>
    <w:p>
      <w:pPr>
        <w:pStyle w:val="Heading1"/>
      </w:pPr>
      <w:r>
        <w:t xml:space="preserve">11. CNN版との対応関係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CNN(株式版)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為替版(本指数)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変更理由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S&amp;P500 vs MA125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ペア価格 vs MA125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直接翻案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NYSE 新高値/新安値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52週レンジ位置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銘柄の幅 → 単一ペアのレンジ位置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McClellan Summation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JPY-strength breadth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出来高の幅 → クロス円の上昇広がり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プット/コール比率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(COT で代替)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無料の FX オプションデータなし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VIX vs 50日MA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実現ボラ(反転)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FX インプライドボラが無料で取れない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株 vs 国債リターン差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金利差(2Y+10Y)水準+勢い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安全資産ローテーション → キャリー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ジャンク債スプレッド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クロスアセット・リスク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信用リスク → 包括的リスク選好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(なし)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CFTC 投機筋ポジション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為替固有: 先物ポジショニング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等加重(1/7)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傾斜加重(0.10〜0.18)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要素の情報量に応じた重み付け</w:t>
            </w:r>
          </w:p>
        </w:tc>
      </w:tr>
      <w:tr>
        <w:tc>
          <w:tcPr>
            <w:tcW w:type="dxa" w:w="30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z-score(推定)</w:t>
            </w:r>
          </w:p>
        </w:tc>
        <w:tc>
          <w:tcPr>
            <w:tcW w:type="dxa" w:w="32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ローリング・パーセンタイル</w:t>
            </w:r>
          </w:p>
        </w:tc>
        <w:tc>
          <w:tcPr>
            <w:tcW w:type="dxa" w:w="28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レジーム変化への頑健性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12. 既知の限界と今後の高度化</w:t>
      </w:r>
    </w:p>
    <w:p>
      <w:pPr>
        <w:pStyle w:val="Heading3"/>
      </w:pPr>
      <w:r>
        <w:t xml:space="preserve">現在の限界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インプライドボラの欠如: </w:t>
      </w:r>
      <w:r>
        <w:t xml:space="preserve">実現ボラは後ろ向き。真の「通貨VIX」にはインプライドボラが必要(有料)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オプション・スキューなし: </w:t>
      </w:r>
      <w:r>
        <w:t xml:space="preserve">25Δリスクリバーサル(方向性リスクの市場価格)が取得できない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COT のラグ: </w:t>
      </w:r>
      <w:r>
        <w:t xml:space="preserve">週次・公表3日遅れのため、リアルタイムのポジション変化は捉えられない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b/>
          <w:bCs/>
        </w:rPr>
        <w:t xml:space="preserve">実現ボラの過小評価: </w:t>
      </w:r>
      <w:r>
        <w:t xml:space="preserve">終値ベースのため日中の急変動を反映しにくい</w:t>
      </w:r>
    </w:p>
    <w:p>
      <w:pPr>
        <w:pStyle w:val="Heading3"/>
      </w:pPr>
      <w:r>
        <w:t xml:space="preserve">将来の高度化案(有料データ導入時)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1Mインプライドボラへの差し替え(実現ボラ → ATM インプライド)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25Δリスクリバーサルを第8要素として追加(コール/プットのスキュー = 方向性期待)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Garman-Klass 推定(OHLC ベース)による実現ボラの精度向上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リテール建玉(IG/OANDA)の逆張り要素としての追加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t xml:space="preserve">経済イベントリスク(BOJ/Fed/CPI の接近度)の要素化</w:t>
      </w:r>
    </w:p>
    <w:p>
      <w:pPr>
        <w:pStyle w:val="Heading1"/>
      </w:pPr>
      <w:r>
        <w:t xml:space="preserve">13. 対応通貨ペア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800"/>
        <w:gridCol w:w="2926"/>
      </w:tblGrid>
      <w:tr>
        <w:trPr>
          <w:tblHeader/>
        </w:trP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ペア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base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quote</w:t>
            </w:r>
          </w:p>
        </w:tc>
        <w:tc>
          <w:tcPr>
            <w:tcW w:type="dxa" w:w="18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JPYクロス</w:t>
            </w:r>
          </w:p>
        </w:tc>
        <w:tc>
          <w:tcPr>
            <w:tcW w:type="dxa" w:w="29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breadth 要素</w:t>
            </w:r>
          </w:p>
        </w:tc>
      </w:tr>
      <w:t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USD/JPY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JPY</w:t>
            </w:r>
          </w:p>
        </w:tc>
        <w:tc>
          <w:tcPr>
            <w:tcW w:type="dxa" w:w="18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9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適用</w:t>
            </w:r>
          </w:p>
        </w:tc>
      </w:tr>
      <w:t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EUR/JPY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EUR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JPY</w:t>
            </w:r>
          </w:p>
        </w:tc>
        <w:tc>
          <w:tcPr>
            <w:tcW w:type="dxa" w:w="18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9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適用</w:t>
            </w:r>
          </w:p>
        </w:tc>
      </w:tr>
      <w:t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GBP/JPY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GBP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JPY</w:t>
            </w:r>
          </w:p>
        </w:tc>
        <w:tc>
          <w:tcPr>
            <w:tcW w:type="dxa" w:w="18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9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適用</w:t>
            </w:r>
          </w:p>
        </w:tc>
      </w:tr>
      <w:t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AUD/JPY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AUD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JPY</w:t>
            </w:r>
          </w:p>
        </w:tc>
        <w:tc>
          <w:tcPr>
            <w:tcW w:type="dxa" w:w="18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○</w:t>
            </w:r>
          </w:p>
        </w:tc>
        <w:tc>
          <w:tcPr>
            <w:tcW w:type="dxa" w:w="29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適用</w:t>
            </w:r>
          </w:p>
        </w:tc>
      </w:tr>
      <w:t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EUR/USD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EUR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18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9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NaN(自動除外)</w:t>
            </w:r>
          </w:p>
        </w:tc>
      </w:tr>
      <w:tr>
        <w:tc>
          <w:tcPr>
            <w:tcW w:type="dxa" w:w="17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GBP/USD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GBP</w:t>
            </w:r>
          </w:p>
        </w:tc>
        <w:tc>
          <w:tcPr>
            <w:tcW w:type="dxa" w:w="13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USD</w:t>
            </w:r>
          </w:p>
        </w:tc>
        <w:tc>
          <w:tcPr>
            <w:tcW w:type="dxa" w:w="1800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−</w:t>
            </w:r>
          </w:p>
        </w:tc>
        <w:tc>
          <w:tcPr>
            <w:tcW w:type="dxa" w:w="2926"/>
            <w:tcBorders>
              <w:top w:val="single" w:color="B8C2D9" w:sz="1"/>
              <w:left w:val="single" w:color="B8C2D9" w:sz="1"/>
              <w:bottom w:val="single" w:color="B8C2D9" w:sz="1"/>
              <w:right w:val="single" w:color="B8C2D9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NaN(自動除外)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ペアの追加は設定ファイル(config.py)への数行の追記のみで可能(通貨レジストリに CFTC 名と利回り源、ペア定義に base/quote を登録)。計算ロジックの変更は不要。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為替版 Fear &amp; Greed Index 算出方法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93" w:sz="6" w:space="2"/>
      </w:pBdr>
      <w:spacing w:after="160" w:before="340"/>
      <w:outlineLvl w:val="0"/>
    </w:pPr>
    <w:rPr>
      <w:rFonts w:ascii="Yu Gothic" w:eastAsia="Yu Gothic" w:hAnsi="Yu Gothic"/>
      <w:b/>
      <w:bCs/>
      <w:color w:val="1F3A9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Yu Gothic" w:eastAsia="Yu Gothic" w:hAnsi="Yu Gothic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Yu Gothic" w:eastAsia="Yu Gothic" w:hAnsi="Yu Gothic"/>
      <w:b/>
      <w:bCs/>
      <w:color w:val="1F3A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2026-07-01T21:35:00.685Z</dcterms:created>
  <dcterms:modified xsi:type="dcterms:W3CDTF">2026-07-01T21:35:00.685Z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