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11111"/>
          <w:sz w:val="28"/>
        </w:rPr>
        <w:t>КРАТКОЕ ОПИСАНИЕ ИНФОРМАЦИОННОЙ СИСТЕМЫ</w:t>
        <w:br/>
      </w:r>
    </w:p>
    <w:p>
      <w:pPr>
        <w:keepNext/>
        <w:spacing w:before="240" w:after="120"/>
      </w:pPr>
      <w:r>
        <w:rPr>
          <w:b/>
          <w:color w:val="0F5B30"/>
          <w:sz w:val="24"/>
        </w:rPr>
        <w:t>1. Общие сведения об информационной системе и Операторе</w:t>
      </w:r>
    </w:p>
    <w:p>
      <w:pPr>
        <w:spacing w:after="80"/>
      </w:pPr>
      <w:r>
        <w:rPr>
          <w:b/>
        </w:rPr>
        <w:t xml:space="preserve">• Полное наименование ИС: </w:t>
      </w:r>
      <w:r>
        <w:t>Автоматизированная информационная система «Модуль Assessment — профессиональное тестирование специалистов сферы закупок».</w:t>
        <w:br/>
      </w:r>
      <w:r>
        <w:rPr>
          <w:b/>
        </w:rPr>
        <w:t xml:space="preserve">• Краткое наименование ИС: </w:t>
      </w:r>
      <w:r>
        <w:t>ИС «Модуль Assessment».</w:t>
        <w:br/>
      </w:r>
      <w:r>
        <w:rPr>
          <w:b/>
        </w:rPr>
        <w:t xml:space="preserve">• Оператор информационной системы: </w:t>
      </w:r>
      <w:r>
        <w:t>Акционерное общество «Центр развития закупок Республики Татарстан» (АО «ЦРЗ РТ»).</w:t>
        <w:br/>
      </w:r>
      <w:r>
        <w:rPr>
          <w:b/>
        </w:rPr>
        <w:t xml:space="preserve">• ИНН / КПП Оператора: </w:t>
      </w:r>
      <w:r>
        <w:t>1655291244 / 165501001</w:t>
        <w:br/>
      </w:r>
      <w:r>
        <w:rPr>
          <w:b/>
        </w:rPr>
        <w:t xml:space="preserve">• ОГРН Оператора: </w:t>
      </w:r>
      <w:r>
        <w:t>1141690026217</w:t>
        <w:br/>
      </w:r>
      <w:r>
        <w:rPr>
          <w:b/>
        </w:rPr>
        <w:t xml:space="preserve">• Юридический / почтовый адрес: </w:t>
      </w:r>
      <w:r>
        <w:t>420107, Российская Федерация, Республика Татарстан, г. Казань, ул. Петербургская, д. 86.</w:t>
        <w:br/>
      </w:r>
      <w:r>
        <w:rPr>
          <w:b/>
        </w:rPr>
        <w:t xml:space="preserve">• Сетевой адрес (URL) ИС: </w:t>
      </w:r>
      <w:r>
        <w:t>https://test.zakupki.tatar (основной портал: https://zakupki.tatar)</w:t>
        <w:br/>
      </w:r>
      <w:r>
        <w:rPr>
          <w:b/>
        </w:rPr>
        <w:t xml:space="preserve">• Электронная почта поддержки: </w:t>
      </w:r>
      <w:r>
        <w:t>crz.rt@tatar.ru</w:t>
      </w:r>
    </w:p>
    <w:p>
      <w:pPr>
        <w:keepNext/>
        <w:spacing w:before="240" w:after="120"/>
      </w:pPr>
      <w:r>
        <w:rPr>
          <w:b/>
          <w:color w:val="0F5B30"/>
          <w:sz w:val="24"/>
        </w:rPr>
        <w:t>2. Назначение и правовые основания функционирования ИС</w:t>
      </w:r>
    </w:p>
    <w:p>
      <w:pPr>
        <w:spacing w:after="80"/>
      </w:pPr>
      <w:r>
        <w:rPr>
          <w:b/>
        </w:rPr>
        <w:t xml:space="preserve">Назначение информационной системы: </w:t>
      </w:r>
      <w:r>
        <w:t>Информационная система предназначена для автоматизации процессов независимой квалификационной оценки, профессионального тестирования и мониторинга уровня компетенций специалистов в сфере государственных, муниципальных и корпоративных закупок (включая контрактных управляющих, сотрудников контрактных служб, членов закупочных комиссий и представителей организаций-заказчиков Республики Татарстан и других субъектов РФ).</w:t>
      </w:r>
    </w:p>
    <w:p>
      <w:pPr>
        <w:spacing w:after="80"/>
      </w:pPr>
      <w:r>
        <w:rPr>
          <w:b/>
        </w:rPr>
        <w:t>Правовые основания создания и функционирования:</w:t>
        <w:br/>
      </w:r>
      <w:r>
        <w:t>1. Федеральный закон от 05.04.2013 № 44-ФЗ «О контрактной системе в сфере закупок товаров, работ, услуг для обеспечения государственных и муниципальных нужд» (ст. 9 — принцип профессионализма заказчика);</w:t>
        <w:br/>
      </w:r>
      <w:r>
        <w:t>2. Федеральный закон от 27.07.2006 № 149-ФЗ «Об информации, информационных технологиях и о защите информации»;</w:t>
        <w:br/>
      </w:r>
      <w:r>
        <w:t>3. Федеральный закон от 27.07.2006 № 152-ФЗ «О персональных данных»;</w:t>
        <w:br/>
      </w:r>
      <w:r>
        <w:t>4. Постановление Правительства РФ от 28.11.2011 № 977 «О единой системе идентификации и аутентификации в инфраструктуре,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услуг в электронной форме».</w:t>
      </w:r>
    </w:p>
    <w:p>
      <w:pPr>
        <w:keepNext/>
        <w:spacing w:before="240" w:after="120"/>
      </w:pPr>
      <w:r>
        <w:rPr>
          <w:b/>
          <w:color w:val="0F5B30"/>
          <w:sz w:val="24"/>
        </w:rPr>
        <w:t>3. Основные функции информационной системы</w:t>
      </w:r>
    </w:p>
    <w:p>
      <w:pPr>
        <w:spacing w:after="80"/>
      </w:pPr>
      <w:r>
        <w:t>ИС «Модуль Assessment» обеспечивает выполнение следующего комплекса задач:</w:t>
        <w:br/>
      </w:r>
      <w:r>
        <w:rPr>
          <w:b/>
        </w:rPr>
        <w:t xml:space="preserve">1. Идентификация и аутентификация пользователей: </w:t>
      </w:r>
      <w:r>
        <w:t>обеспечение санкционированного и защищенного входа в личный кабинет, в том числе с использованием ЕСИА;</w:t>
        <w:br/>
      </w:r>
      <w:r>
        <w:rPr>
          <w:b/>
        </w:rPr>
        <w:t xml:space="preserve">2. Ведение профиля и учет ведомственной принадлежности: </w:t>
      </w:r>
      <w:r>
        <w:t>хранение данных об участнике тестирования, подтверждение связи сотрудника с организацией-работодателем (заказчиком);</w:t>
        <w:br/>
      </w:r>
      <w:r>
        <w:rPr>
          <w:b/>
        </w:rPr>
        <w:t xml:space="preserve">3. Организация и проведение аттестационных кампаний: </w:t>
      </w:r>
      <w:r>
        <w:t>предоставление доступа к назначенным квалификационным тестам в строгих временных рамках регламентных периодов;</w:t>
        <w:br/>
      </w:r>
      <w:r>
        <w:rPr>
          <w:b/>
        </w:rPr>
        <w:t xml:space="preserve">4. Контроль тестирования в электронной форме: </w:t>
      </w:r>
      <w:r>
        <w:t>динамическая генерация индивидуальных тестовых билетов из верифицированного банка вопросов, тайминг прохождения, проверка правильности ответов на серверной стороне;</w:t>
        <w:br/>
      </w:r>
      <w:r>
        <w:rPr>
          <w:b/>
        </w:rPr>
        <w:t xml:space="preserve">5. Обработка и фиксация результатов: </w:t>
      </w:r>
      <w:r>
        <w:t>автоматизированный подсчет баллов, определение статуса сдачи теста, протоколирование попыток и исключение повторного несанкционированного прохождения;</w:t>
        <w:br/>
      </w:r>
      <w:r>
        <w:rPr>
          <w:b/>
        </w:rPr>
        <w:t xml:space="preserve">6. Аналитическая отчетность: </w:t>
      </w:r>
      <w:r>
        <w:t>формирование ведомственной сводной статистики по организациям, отраслям и муниципальным образованиям, выявление сложных тем для корректировки программ повышения квалификации.</w:t>
      </w:r>
    </w:p>
    <w:p>
      <w:pPr>
        <w:keepNext/>
        <w:spacing w:before="240" w:after="120"/>
      </w:pPr>
      <w:r>
        <w:rPr>
          <w:b/>
          <w:color w:val="0F5B30"/>
          <w:sz w:val="24"/>
        </w:rPr>
        <w:t>4. Категории пользователей информационной системы</w:t>
      </w:r>
    </w:p>
    <w:p>
      <w:pPr>
        <w:spacing w:after="80"/>
      </w:pPr>
      <w:r>
        <w:rPr>
          <w:b/>
        </w:rPr>
        <w:t xml:space="preserve">• Физические лица (участники): </w:t>
      </w:r>
      <w:r>
        <w:t>контрактные управляющие, руководители и специалисты контрактных служб, члены закупочных комиссий государственных и муниципальных заказчиков, слушатели образовательных программ.</w:t>
        <w:br/>
      </w:r>
      <w:r>
        <w:rPr>
          <w:b/>
        </w:rPr>
        <w:t xml:space="preserve">• Администраторы и модераторы ИС: </w:t>
      </w:r>
      <w:r>
        <w:t>уполномоченные сотрудники АО «Центр развития закупок Республики Татарстан», осуществляющие методическое сопровождение тестирования и контроль результатов.</w:t>
      </w:r>
    </w:p>
    <w:p>
      <w:pPr>
        <w:keepNext/>
        <w:spacing w:before="240" w:after="120"/>
      </w:pPr>
      <w:r>
        <w:rPr>
          <w:b/>
          <w:color w:val="0F5B30"/>
          <w:sz w:val="24"/>
        </w:rPr>
        <w:t>5. Интеграция с ЕСИА и состав запрашиваемых сведений</w:t>
      </w:r>
    </w:p>
    <w:p>
      <w:pPr>
        <w:spacing w:after="120"/>
      </w:pPr>
      <w:r>
        <w:t>Интеграция осуществляется по протоколу OpenID Connect / OAuth 2.0 в соответствии с Регламентом информационно-технологического взаимодействия с ЕСИА.</w:t>
        <w:br/>
        <w:br/>
      </w:r>
      <w:r>
        <w:t>В рамках соблюдения принципа минимизации и соразмерности обработки персональных данных (ч. 2 ст. 5 Федерального закона № 152-ФЗ), информационная система запрашивает из ЕСИА исключительно базовый набор сведений, строго необходимый для однозначной идентификации участника и ведения персонального учета результатов аттестации: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032"/>
            <w:shd w:fill="F0F4F8"/>
          </w:tcPr>
          <w:p>
            <w:r>
              <w:rPr>
                <w:b/>
                <w:sz w:val="20"/>
              </w:rPr>
              <w:t>Запрашиваемый атрибут / Scope</w:t>
            </w:r>
          </w:p>
        </w:tc>
        <w:tc>
          <w:tcPr>
            <w:tcW w:type="dxa" w:w="5616"/>
            <w:shd w:fill="F0F4F8"/>
          </w:tcPr>
          <w:p>
            <w:r>
              <w:rPr>
                <w:b/>
                <w:sz w:val="20"/>
              </w:rPr>
              <w:t>Назначение использования в ИС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Системный идентификатор пользователя (OID / sub)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Однозначная связка учетной записи ЕСИА с профилем в ИС «Модуль Assessment»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Фамилия, имя, отчество (fullname / openid)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Идентификация участника в протоколах тестирования и сертификатах/удостоверениях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Адрес электронной почты (email)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Направление уведомлений о назначенных тестированиях и результатах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Номер мобильного телефона (mobile)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Оперативная связь и дополнительный канал подтверждения доступа</w:t>
            </w:r>
          </w:p>
        </w:tc>
      </w:tr>
    </w:tbl>
    <w:p>
      <w:pPr>
        <w:keepNext/>
        <w:spacing w:before="240" w:after="120"/>
      </w:pPr>
      <w:r>
        <w:rPr>
          <w:b/>
          <w:color w:val="0F5B30"/>
          <w:sz w:val="24"/>
        </w:rPr>
        <w:t>6. Цели интеграции с ЕСИА</w:t>
      </w:r>
    </w:p>
    <w:p>
      <w:pPr>
        <w:spacing w:after="80"/>
      </w:pPr>
      <w:r>
        <w:rPr>
          <w:b/>
        </w:rPr>
        <w:t xml:space="preserve">1. Достоверность идентификации: </w:t>
      </w:r>
      <w:r>
        <w:t>исключение прохождения квалификационных тестов поддельными, анонимными или неуполномоченными лицами;</w:t>
        <w:br/>
      </w:r>
      <w:r>
        <w:rPr>
          <w:b/>
        </w:rPr>
        <w:t xml:space="preserve">2. Единая точка входа (SSO): </w:t>
      </w:r>
      <w:r>
        <w:t>обеспечение удобного и безопасного бесшовного доступа пользователей без необходимости администрирования отдельных небезопасных паролей;</w:t>
        <w:br/>
      </w:r>
      <w:r>
        <w:rPr>
          <w:b/>
        </w:rPr>
        <w:t xml:space="preserve">3. Персональная ответственность и юридическая значимость: </w:t>
      </w:r>
      <w:r>
        <w:t>обеспечение легитимности формируемых результатов профессиональной оценки специалистов контрактной системы;</w:t>
        <w:br/>
      </w:r>
      <w:r>
        <w:rPr>
          <w:b/>
        </w:rPr>
        <w:t xml:space="preserve">4. Информационная безопасность: </w:t>
      </w:r>
      <w:r>
        <w:t>снижение рисков компрометации учетных записей за счет применения стандартов защиты и двухфакторной аутентификации ЕСИА.</w:t>
      </w:r>
    </w:p>
    <w:p>
      <w:pPr>
        <w:keepNext/>
        <w:spacing w:before="240" w:after="120"/>
      </w:pPr>
      <w:r>
        <w:rPr>
          <w:b/>
          <w:color w:val="0F5B30"/>
          <w:sz w:val="24"/>
        </w:rPr>
        <w:t>7. Среда интеграции</w:t>
      </w:r>
    </w:p>
    <w:p>
      <w:pPr>
        <w:spacing w:after="320"/>
      </w:pPr>
      <w:r>
        <w:t xml:space="preserve">На текущем этапе интеграция осуществляется в </w:t>
      </w:r>
      <w:r>
        <w:rPr>
          <w:b/>
        </w:rPr>
        <w:t xml:space="preserve">тестовой среде ЕСИА </w:t>
      </w:r>
      <w:r>
        <w:t>(esia-portal1.test.gosuslugi.ru) с целью выполнения технической отладки, конфигурирования клиентского приложения и сквозной проверки сценариев аутентификации перед выводом функционала в промышленную эксплуатацию.</w:t>
      </w:r>
    </w:p>
    <w:p>
      <w:pPr>
        <w:keepNext/>
      </w:pPr>
      <w:r>
        <w:rPr>
          <w:b/>
        </w:rPr>
        <w:t>Оператор ИС:</w:t>
        <w:br/>
      </w:r>
      <w:r>
        <w:t>АО «Центр развития закупок Республики Татарстан»</w:t>
        <w:br/>
        <w:br/>
      </w:r>
      <w:r>
        <w:t>Генеральный директор / Уполномоченное лицо:</w:t>
        <w:br/>
      </w:r>
      <w:r>
        <w:t>____________________ / ____________________ /</w:t>
        <w:br/>
        <w:br/>
      </w:r>
      <w:r>
        <w:t>М.П.</w:t>
        <w:br/>
        <w:br/>
      </w:r>
      <w:r>
        <w:t>«___» ____________ 2026 г.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