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Times New Roman" w:hAnsi="Times New Roman"/>
          <w:b/>
          <w:i w:val="0"/>
          <w:sz w:val="24"/>
        </w:rPr>
        <w:t>Department of Applied Data Science</w:t>
      </w:r>
    </w:p>
    <w:p>
      <w:pPr>
        <w:spacing w:after="0"/>
        <w:jc w:val="center"/>
      </w:pPr>
      <w:r>
        <w:rPr>
          <w:rFonts w:ascii="Times New Roman" w:hAnsi="Times New Roman"/>
          <w:b/>
          <w:i w:val="0"/>
          <w:sz w:val="24"/>
        </w:rPr>
        <w:t>DATA 298A  MSDA Project I</w:t>
      </w:r>
    </w:p>
    <w:p>
      <w:pPr>
        <w:spacing w:before="120" w:after="120"/>
        <w:jc w:val="center"/>
      </w:pPr>
      <w:r>
        <w:rPr>
          <w:rFonts w:ascii="Times New Roman" w:hAnsi="Times New Roman"/>
          <w:b/>
          <w:i w:val="0"/>
          <w:sz w:val="32"/>
        </w:rPr>
        <w:t>Progress Report 2</w:t>
      </w:r>
    </w:p>
    <w:p>
      <w:pPr>
        <w:spacing w:after="160"/>
        <w:jc w:val="center"/>
      </w:pPr>
      <w:r>
        <w:rPr>
          <w:rFonts w:ascii="Times New Roman" w:hAnsi="Times New Roman"/>
          <w:b/>
          <w:i w:val="0"/>
          <w:sz w:val="24"/>
        </w:rPr>
        <w:t>Low-Resource and Code-Switched Language Systems: An Adaptation and Evaluation Framework for Hindi–English (Hinglish) Generation</w:t>
      </w:r>
    </w:p>
    <w:p>
      <w:pPr>
        <w:spacing w:after="0"/>
        <w:jc w:val="center"/>
      </w:pPr>
      <w:r>
        <w:rPr>
          <w:rFonts w:ascii="Times New Roman" w:hAnsi="Times New Roman"/>
          <w:b w:val="0"/>
          <w:i w:val="0"/>
        </w:rPr>
        <w:t>Team 2  ·  Section 11  ·  Topic 23</w:t>
      </w:r>
    </w:p>
    <w:p>
      <w:pPr>
        <w:spacing w:after="0"/>
        <w:jc w:val="center"/>
      </w:pPr>
      <w:r>
        <w:rPr>
          <w:rFonts w:ascii="Times New Roman" w:hAnsi="Times New Roman"/>
          <w:b w:val="0"/>
          <w:i w:val="0"/>
        </w:rPr>
        <w:t>Savalia, Jenil Sanjaybhai; Shevkar, Yash; Singh, Prakhar Kumar; Thomas Lnu, Shibin Biji; Waghmare, Sarvesh</w:t>
      </w:r>
    </w:p>
    <w:p>
      <w:pPr>
        <w:spacing w:after="0"/>
        <w:jc w:val="center"/>
      </w:pPr>
      <w:r>
        <w:rPr>
          <w:rFonts w:ascii="Times New Roman" w:hAnsi="Times New Roman"/>
          <w:b w:val="0"/>
          <w:i w:val="0"/>
        </w:rPr>
        <w:t>Date of report: October 22, 2026</w:t>
      </w:r>
    </w:p>
    <w:p>
      <w:pPr>
        <w:spacing w:after="0"/>
        <w:jc w:val="center"/>
      </w:pPr>
      <w:r>
        <w:rPr>
          <w:rFonts w:ascii="Times New Roman" w:hAnsi="Times New Roman"/>
          <w:b w:val="0"/>
          <w:i w:val="0"/>
        </w:rPr>
        <w:t>Linear cycles covered: Cycles 2–3 (25 September – 22 October 2026)</w:t>
      </w:r>
    </w:p>
    <w:p>
      <w:pPr>
        <w:spacing w:after="0"/>
        <w:jc w:val="center"/>
      </w:pPr>
      <w:r>
        <w:rPr>
          <w:rFonts w:ascii="Times New Roman" w:hAnsi="Times New Roman"/>
          <w:b w:val="0"/>
          <w:i w:val="0"/>
          <w:sz w:val="20"/>
        </w:rPr>
        <w:t>Repository: https://github.com/298A-Team-2-Topic-23/Low-Resource-and-Code-Switched-Language-Systems</w:t>
      </w:r>
    </w:p>
    <w:p>
      <w:pPr>
        <w:spacing w:after="0"/>
        <w:jc w:val="center"/>
      </w:pPr>
      <w:r>
        <w:rPr>
          <w:rFonts w:ascii="Times New Roman" w:hAnsi="Times New Roman"/>
          <w:b w:val="0"/>
          <w:i w:val="0"/>
          <w:sz w:val="20"/>
        </w:rPr>
        <w:t>Linear board: https://linear.app/298a-team-2-topic-23/team/298/overview</w:t>
      </w:r>
    </w:p>
    <w:p>
      <w:pPr>
        <w:spacing w:before="360" w:after="160"/>
      </w:pPr>
      <w:r>
        <w:rPr>
          <w:rFonts w:ascii="Times New Roman" w:hAnsi="Times New Roman"/>
          <w:b/>
          <w:i w:val="0"/>
          <w:sz w:val="28"/>
        </w:rPr>
        <w:t>Part A  ·  Project Status</w:t>
      </w:r>
    </w:p>
    <w:tbl>
      <w:tblPr>
        <w:tblW w:type="auto" w:w="0"/>
        <w:jc w:val="left"/>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72"/>
        <w:gridCol w:w="1872"/>
        <w:gridCol w:w="1872"/>
        <w:gridCol w:w="1872"/>
        <w:gridCol w:w="1872"/>
      </w:tblGrid>
      <w:tr>
        <w:tc>
          <w:tcPr>
            <w:tcW w:type="dxa" w:w="4320"/>
            <w:shd w:val="clear" w:color="auto" w:fill="EFEFEF"/>
          </w:tcPr>
          <w:p>
            <w:pPr>
              <w:spacing w:before="20" w:after="20" w:line="240" w:lineRule="auto"/>
            </w:pPr>
            <w:r/>
            <w:r>
              <w:rPr>
                <w:rFonts w:ascii="Times New Roman" w:hAnsi="Times New Roman"/>
                <w:b/>
                <w:sz w:val="19"/>
              </w:rPr>
              <w:t>Item</w:t>
            </w:r>
          </w:p>
        </w:tc>
        <w:tc>
          <w:tcPr>
            <w:tcW w:type="dxa" w:w="1224"/>
            <w:shd w:val="clear" w:color="auto" w:fill="EFEFEF"/>
          </w:tcPr>
          <w:p>
            <w:pPr>
              <w:spacing w:before="20" w:after="20" w:line="240" w:lineRule="auto"/>
            </w:pPr>
            <w:r/>
            <w:r>
              <w:rPr>
                <w:rFonts w:ascii="Times New Roman" w:hAnsi="Times New Roman"/>
                <w:b/>
                <w:sz w:val="19"/>
              </w:rPr>
              <w:t>Planning</w:t>
            </w:r>
          </w:p>
        </w:tc>
        <w:tc>
          <w:tcPr>
            <w:tcW w:type="dxa" w:w="1512"/>
            <w:shd w:val="clear" w:color="auto" w:fill="EFEFEF"/>
          </w:tcPr>
          <w:p>
            <w:pPr>
              <w:spacing w:before="20" w:after="20" w:line="240" w:lineRule="auto"/>
            </w:pPr>
            <w:r/>
            <w:r>
              <w:rPr>
                <w:rFonts w:ascii="Times New Roman" w:hAnsi="Times New Roman"/>
                <w:b/>
                <w:sz w:val="19"/>
              </w:rPr>
              <w:t>Investigation</w:t>
            </w:r>
          </w:p>
        </w:tc>
        <w:tc>
          <w:tcPr>
            <w:tcW w:type="dxa" w:w="1152"/>
            <w:shd w:val="clear" w:color="auto" w:fill="EFEFEF"/>
          </w:tcPr>
          <w:p>
            <w:pPr>
              <w:spacing w:before="20" w:after="20" w:line="240" w:lineRule="auto"/>
            </w:pPr>
            <w:r/>
            <w:r>
              <w:rPr>
                <w:rFonts w:ascii="Times New Roman" w:hAnsi="Times New Roman"/>
                <w:b/>
                <w:sz w:val="19"/>
              </w:rPr>
              <w:t>Complete</w:t>
            </w:r>
          </w:p>
        </w:tc>
        <w:tc>
          <w:tcPr>
            <w:tcW w:type="dxa" w:w="1152"/>
            <w:shd w:val="clear" w:color="auto" w:fill="EFEFEF"/>
          </w:tcPr>
          <w:p>
            <w:pPr>
              <w:spacing w:before="20" w:after="20" w:line="240" w:lineRule="auto"/>
            </w:pPr>
            <w:r/>
            <w:r>
              <w:rPr>
                <w:rFonts w:ascii="Times New Roman" w:hAnsi="Times New Roman"/>
                <w:b/>
                <w:sz w:val="19"/>
              </w:rPr>
              <w:t>Document</w:t>
            </w:r>
          </w:p>
        </w:tc>
      </w:tr>
      <w:tr>
        <w:tc>
          <w:tcPr>
            <w:tcW w:type="dxa" w:w="9360"/>
            <w:gridSpan w:val="5"/>
            <w:shd w:val="clear" w:color="auto" w:fill="F7F7F7"/>
          </w:tcPr>
          <w:p>
            <w:pPr>
              <w:spacing w:before="20" w:after="20" w:line="240" w:lineRule="auto"/>
            </w:pPr>
            <w:r/>
            <w:r>
              <w:rPr>
                <w:rFonts w:ascii="Times New Roman" w:hAnsi="Times New Roman"/>
                <w:b/>
                <w:sz w:val="19"/>
              </w:rPr>
              <w:t>1  Introduction</w:t>
            </w:r>
          </w:p>
        </w:tc>
      </w:tr>
      <w:tr>
        <w:tc>
          <w:tcPr>
            <w:tcW w:type="dxa" w:w="4320"/>
          </w:tcPr>
          <w:p>
            <w:pPr>
              <w:spacing w:before="20" w:after="20" w:line="240" w:lineRule="auto"/>
            </w:pPr>
            <w:r/>
            <w:r>
              <w:rPr>
                <w:rFonts w:ascii="Times New Roman" w:hAnsi="Times New Roman"/>
                <w:b w:val="0"/>
                <w:sz w:val="19"/>
              </w:rPr>
              <w:t>1.1  Project Background and Executive Summary</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95%</w:t>
            </w:r>
          </w:p>
        </w:tc>
      </w:tr>
      <w:tr>
        <w:tc>
          <w:tcPr>
            <w:tcW w:type="dxa" w:w="4320"/>
          </w:tcPr>
          <w:p>
            <w:pPr>
              <w:spacing w:before="20" w:after="20" w:line="240" w:lineRule="auto"/>
            </w:pPr>
            <w:r/>
            <w:r>
              <w:rPr>
                <w:rFonts w:ascii="Times New Roman" w:hAnsi="Times New Roman"/>
                <w:b w:val="0"/>
                <w:sz w:val="19"/>
              </w:rPr>
              <w:t>1.2  Project Requirements</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95%</w:t>
            </w:r>
          </w:p>
        </w:tc>
      </w:tr>
      <w:tr>
        <w:tc>
          <w:tcPr>
            <w:tcW w:type="dxa" w:w="4320"/>
          </w:tcPr>
          <w:p>
            <w:pPr>
              <w:spacing w:before="20" w:after="20" w:line="240" w:lineRule="auto"/>
            </w:pPr>
            <w:r/>
            <w:r>
              <w:rPr>
                <w:rFonts w:ascii="Times New Roman" w:hAnsi="Times New Roman"/>
                <w:b w:val="0"/>
                <w:sz w:val="19"/>
              </w:rPr>
              <w:t>1.3  Project Deliverables</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90%</w:t>
            </w:r>
          </w:p>
        </w:tc>
        <w:tc>
          <w:tcPr>
            <w:tcW w:type="dxa" w:w="1152"/>
          </w:tcPr>
          <w:p>
            <w:pPr>
              <w:spacing w:before="20" w:after="20" w:line="240" w:lineRule="auto"/>
              <w:jc w:val="center"/>
            </w:pPr>
            <w:r/>
            <w:r>
              <w:rPr>
                <w:rFonts w:ascii="Times New Roman" w:hAnsi="Times New Roman"/>
                <w:b w:val="0"/>
                <w:sz w:val="19"/>
              </w:rPr>
              <w:t>85%</w:t>
            </w:r>
          </w:p>
        </w:tc>
        <w:tc>
          <w:tcPr>
            <w:tcW w:type="dxa" w:w="1152"/>
          </w:tcPr>
          <w:p>
            <w:pPr>
              <w:spacing w:before="20" w:after="20" w:line="240" w:lineRule="auto"/>
              <w:jc w:val="center"/>
            </w:pPr>
            <w:r/>
            <w:r>
              <w:rPr>
                <w:rFonts w:ascii="Times New Roman" w:hAnsi="Times New Roman"/>
                <w:b w:val="0"/>
                <w:sz w:val="19"/>
              </w:rPr>
              <w:t>85%</w:t>
            </w:r>
          </w:p>
        </w:tc>
      </w:tr>
      <w:tr>
        <w:tc>
          <w:tcPr>
            <w:tcW w:type="dxa" w:w="4320"/>
          </w:tcPr>
          <w:p>
            <w:pPr>
              <w:spacing w:before="20" w:after="20" w:line="240" w:lineRule="auto"/>
            </w:pPr>
            <w:r/>
            <w:r>
              <w:rPr>
                <w:rFonts w:ascii="Times New Roman" w:hAnsi="Times New Roman"/>
                <w:b w:val="0"/>
                <w:sz w:val="19"/>
              </w:rPr>
              <w:t>1.4  Technology and Solution Survey</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95%</w:t>
            </w:r>
          </w:p>
        </w:tc>
      </w:tr>
      <w:tr>
        <w:tc>
          <w:tcPr>
            <w:tcW w:type="dxa" w:w="4320"/>
          </w:tcPr>
          <w:p>
            <w:pPr>
              <w:spacing w:before="20" w:after="20" w:line="240" w:lineRule="auto"/>
            </w:pPr>
            <w:r/>
            <w:r>
              <w:rPr>
                <w:rFonts w:ascii="Times New Roman" w:hAnsi="Times New Roman"/>
                <w:b w:val="0"/>
                <w:sz w:val="19"/>
              </w:rPr>
              <w:t>1.5  Literature Survey of Existing Research</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95%</w:t>
            </w:r>
          </w:p>
        </w:tc>
      </w:tr>
      <w:tr>
        <w:tc>
          <w:tcPr>
            <w:tcW w:type="dxa" w:w="9360"/>
            <w:gridSpan w:val="5"/>
            <w:shd w:val="clear" w:color="auto" w:fill="F7F7F7"/>
          </w:tcPr>
          <w:p>
            <w:pPr>
              <w:spacing w:before="20" w:after="20" w:line="240" w:lineRule="auto"/>
            </w:pPr>
            <w:r/>
            <w:r>
              <w:rPr>
                <w:rFonts w:ascii="Times New Roman" w:hAnsi="Times New Roman"/>
                <w:b/>
                <w:sz w:val="19"/>
              </w:rPr>
              <w:t>2  Data and Project Management Plan</w:t>
            </w:r>
          </w:p>
        </w:tc>
      </w:tr>
      <w:tr>
        <w:tc>
          <w:tcPr>
            <w:tcW w:type="dxa" w:w="4320"/>
          </w:tcPr>
          <w:p>
            <w:pPr>
              <w:spacing w:before="20" w:after="20" w:line="240" w:lineRule="auto"/>
            </w:pPr>
            <w:r/>
            <w:r>
              <w:rPr>
                <w:rFonts w:ascii="Times New Roman" w:hAnsi="Times New Roman"/>
                <w:b w:val="0"/>
                <w:sz w:val="19"/>
              </w:rPr>
              <w:t>2.1  Data Management Plan</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90%</w:t>
            </w:r>
          </w:p>
        </w:tc>
        <w:tc>
          <w:tcPr>
            <w:tcW w:type="dxa" w:w="1152"/>
          </w:tcPr>
          <w:p>
            <w:pPr>
              <w:spacing w:before="20" w:after="20" w:line="240" w:lineRule="auto"/>
              <w:jc w:val="center"/>
            </w:pPr>
            <w:r/>
            <w:r>
              <w:rPr>
                <w:rFonts w:ascii="Times New Roman" w:hAnsi="Times New Roman"/>
                <w:b w:val="0"/>
                <w:sz w:val="19"/>
              </w:rPr>
              <w:t>90%</w:t>
            </w:r>
          </w:p>
        </w:tc>
        <w:tc>
          <w:tcPr>
            <w:tcW w:type="dxa" w:w="1152"/>
          </w:tcPr>
          <w:p>
            <w:pPr>
              <w:spacing w:before="20" w:after="20" w:line="240" w:lineRule="auto"/>
              <w:jc w:val="center"/>
            </w:pPr>
            <w:r/>
            <w:r>
              <w:rPr>
                <w:rFonts w:ascii="Times New Roman" w:hAnsi="Times New Roman"/>
                <w:b w:val="0"/>
                <w:sz w:val="19"/>
              </w:rPr>
              <w:t>85%</w:t>
            </w:r>
          </w:p>
        </w:tc>
      </w:tr>
      <w:tr>
        <w:tc>
          <w:tcPr>
            <w:tcW w:type="dxa" w:w="4320"/>
          </w:tcPr>
          <w:p>
            <w:pPr>
              <w:spacing w:before="20" w:after="20" w:line="240" w:lineRule="auto"/>
            </w:pPr>
            <w:r/>
            <w:r>
              <w:rPr>
                <w:rFonts w:ascii="Times New Roman" w:hAnsi="Times New Roman"/>
                <w:b w:val="0"/>
                <w:sz w:val="19"/>
              </w:rPr>
              <w:t>2.2  Project Management Plan (2.2.1–2.2.8)</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90%</w:t>
            </w:r>
          </w:p>
        </w:tc>
        <w:tc>
          <w:tcPr>
            <w:tcW w:type="dxa" w:w="1152"/>
          </w:tcPr>
          <w:p>
            <w:pPr>
              <w:spacing w:before="20" w:after="20" w:line="240" w:lineRule="auto"/>
              <w:jc w:val="center"/>
            </w:pPr>
            <w:r/>
            <w:r>
              <w:rPr>
                <w:rFonts w:ascii="Times New Roman" w:hAnsi="Times New Roman"/>
                <w:b w:val="0"/>
                <w:sz w:val="19"/>
              </w:rPr>
              <w:t>95%</w:t>
            </w:r>
          </w:p>
        </w:tc>
      </w:tr>
      <w:tr>
        <w:tc>
          <w:tcPr>
            <w:tcW w:type="dxa" w:w="4320"/>
          </w:tcPr>
          <w:p>
            <w:pPr>
              <w:spacing w:before="20" w:after="20" w:line="240" w:lineRule="auto"/>
            </w:pPr>
            <w:r/>
            <w:r>
              <w:rPr>
                <w:rFonts w:ascii="Times New Roman" w:hAnsi="Times New Roman"/>
                <w:b w:val="0"/>
                <w:sz w:val="19"/>
              </w:rPr>
              <w:t>2.3  Project Resource Requirements and Plan</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85%</w:t>
            </w:r>
          </w:p>
        </w:tc>
        <w:tc>
          <w:tcPr>
            <w:tcW w:type="dxa" w:w="1152"/>
          </w:tcPr>
          <w:p>
            <w:pPr>
              <w:spacing w:before="20" w:after="20" w:line="240" w:lineRule="auto"/>
              <w:jc w:val="center"/>
            </w:pPr>
            <w:r/>
            <w:r>
              <w:rPr>
                <w:rFonts w:ascii="Times New Roman" w:hAnsi="Times New Roman"/>
                <w:b w:val="0"/>
                <w:sz w:val="19"/>
              </w:rPr>
              <w:t>60%</w:t>
            </w:r>
          </w:p>
        </w:tc>
        <w:tc>
          <w:tcPr>
            <w:tcW w:type="dxa" w:w="1152"/>
          </w:tcPr>
          <w:p>
            <w:pPr>
              <w:spacing w:before="20" w:after="20" w:line="240" w:lineRule="auto"/>
              <w:jc w:val="center"/>
            </w:pPr>
            <w:r/>
            <w:r>
              <w:rPr>
                <w:rFonts w:ascii="Times New Roman" w:hAnsi="Times New Roman"/>
                <w:b w:val="0"/>
                <w:sz w:val="19"/>
              </w:rPr>
              <w:t>90%</w:t>
            </w:r>
          </w:p>
        </w:tc>
      </w:tr>
      <w:tr>
        <w:tc>
          <w:tcPr>
            <w:tcW w:type="dxa" w:w="4320"/>
          </w:tcPr>
          <w:p>
            <w:pPr>
              <w:spacing w:before="20" w:after="20" w:line="240" w:lineRule="auto"/>
            </w:pPr>
            <w:r/>
            <w:r>
              <w:rPr>
                <w:rFonts w:ascii="Times New Roman" w:hAnsi="Times New Roman"/>
                <w:b w:val="0"/>
                <w:sz w:val="19"/>
              </w:rPr>
              <w:t>2.4  Project Schedule</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90%</w:t>
            </w:r>
          </w:p>
        </w:tc>
        <w:tc>
          <w:tcPr>
            <w:tcW w:type="dxa" w:w="1152"/>
          </w:tcPr>
          <w:p>
            <w:pPr>
              <w:spacing w:before="20" w:after="20" w:line="240" w:lineRule="auto"/>
              <w:jc w:val="center"/>
            </w:pPr>
            <w:r/>
            <w:r>
              <w:rPr>
                <w:rFonts w:ascii="Times New Roman" w:hAnsi="Times New Roman"/>
                <w:b w:val="0"/>
                <w:sz w:val="19"/>
              </w:rPr>
              <w:t>85%</w:t>
            </w:r>
          </w:p>
        </w:tc>
        <w:tc>
          <w:tcPr>
            <w:tcW w:type="dxa" w:w="1152"/>
          </w:tcPr>
          <w:p>
            <w:pPr>
              <w:spacing w:before="20" w:after="20" w:line="240" w:lineRule="auto"/>
              <w:jc w:val="center"/>
            </w:pPr>
            <w:r/>
            <w:r>
              <w:rPr>
                <w:rFonts w:ascii="Times New Roman" w:hAnsi="Times New Roman"/>
                <w:b w:val="0"/>
                <w:sz w:val="19"/>
              </w:rPr>
              <w:t>90%</w:t>
            </w:r>
          </w:p>
        </w:tc>
      </w:tr>
      <w:tr>
        <w:tc>
          <w:tcPr>
            <w:tcW w:type="dxa" w:w="9360"/>
            <w:gridSpan w:val="5"/>
            <w:shd w:val="clear" w:color="auto" w:fill="F7F7F7"/>
          </w:tcPr>
          <w:p>
            <w:pPr>
              <w:spacing w:before="20" w:after="20" w:line="240" w:lineRule="auto"/>
            </w:pPr>
            <w:r/>
            <w:r>
              <w:rPr>
                <w:rFonts w:ascii="Times New Roman" w:hAnsi="Times New Roman"/>
                <w:b/>
                <w:sz w:val="19"/>
              </w:rPr>
              <w:t>3  Data Engineering</w:t>
            </w:r>
          </w:p>
        </w:tc>
      </w:tr>
      <w:tr>
        <w:tc>
          <w:tcPr>
            <w:tcW w:type="dxa" w:w="4320"/>
          </w:tcPr>
          <w:p>
            <w:pPr>
              <w:spacing w:before="20" w:after="20" w:line="240" w:lineRule="auto"/>
            </w:pPr>
            <w:r/>
            <w:r>
              <w:rPr>
                <w:rFonts w:ascii="Times New Roman" w:hAnsi="Times New Roman"/>
                <w:b w:val="0"/>
                <w:sz w:val="19"/>
              </w:rPr>
              <w:t>3.1  Data Process</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35%</w:t>
            </w:r>
          </w:p>
        </w:tc>
      </w:tr>
      <w:tr>
        <w:tc>
          <w:tcPr>
            <w:tcW w:type="dxa" w:w="4320"/>
          </w:tcPr>
          <w:p>
            <w:pPr>
              <w:spacing w:before="20" w:after="20" w:line="240" w:lineRule="auto"/>
            </w:pPr>
            <w:r/>
            <w:r>
              <w:rPr>
                <w:rFonts w:ascii="Times New Roman" w:hAnsi="Times New Roman"/>
                <w:b w:val="0"/>
                <w:sz w:val="19"/>
              </w:rPr>
              <w:t>3.2  Data Collection</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40%</w:t>
            </w:r>
          </w:p>
        </w:tc>
      </w:tr>
      <w:tr>
        <w:tc>
          <w:tcPr>
            <w:tcW w:type="dxa" w:w="4320"/>
          </w:tcPr>
          <w:p>
            <w:pPr>
              <w:spacing w:before="20" w:after="20" w:line="240" w:lineRule="auto"/>
            </w:pPr>
            <w:r/>
            <w:r>
              <w:rPr>
                <w:rFonts w:ascii="Times New Roman" w:hAnsi="Times New Roman"/>
                <w:b w:val="0"/>
                <w:sz w:val="19"/>
              </w:rPr>
              <w:t>3.3  Data Pre-processing</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35%</w:t>
            </w:r>
          </w:p>
        </w:tc>
      </w:tr>
      <w:tr>
        <w:tc>
          <w:tcPr>
            <w:tcW w:type="dxa" w:w="4320"/>
          </w:tcPr>
          <w:p>
            <w:pPr>
              <w:spacing w:before="20" w:after="20" w:line="240" w:lineRule="auto"/>
            </w:pPr>
            <w:r/>
            <w:r>
              <w:rPr>
                <w:rFonts w:ascii="Times New Roman" w:hAnsi="Times New Roman"/>
                <w:b w:val="0"/>
                <w:sz w:val="19"/>
              </w:rPr>
              <w:t>3.4  Data Transformation</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90%</w:t>
            </w:r>
          </w:p>
        </w:tc>
        <w:tc>
          <w:tcPr>
            <w:tcW w:type="dxa" w:w="1152"/>
          </w:tcPr>
          <w:p>
            <w:pPr>
              <w:spacing w:before="20" w:after="20" w:line="240" w:lineRule="auto"/>
              <w:jc w:val="center"/>
            </w:pPr>
            <w:r/>
            <w:r>
              <w:rPr>
                <w:rFonts w:ascii="Times New Roman" w:hAnsi="Times New Roman"/>
                <w:b w:val="0"/>
                <w:sz w:val="19"/>
              </w:rPr>
              <w:t>90%</w:t>
            </w:r>
          </w:p>
        </w:tc>
        <w:tc>
          <w:tcPr>
            <w:tcW w:type="dxa" w:w="1152"/>
          </w:tcPr>
          <w:p>
            <w:pPr>
              <w:spacing w:before="20" w:after="20" w:line="240" w:lineRule="auto"/>
              <w:jc w:val="center"/>
            </w:pPr>
            <w:r/>
            <w:r>
              <w:rPr>
                <w:rFonts w:ascii="Times New Roman" w:hAnsi="Times New Roman"/>
                <w:b w:val="0"/>
                <w:sz w:val="19"/>
              </w:rPr>
              <w:t>35%</w:t>
            </w:r>
          </w:p>
        </w:tc>
      </w:tr>
      <w:tr>
        <w:tc>
          <w:tcPr>
            <w:tcW w:type="dxa" w:w="4320"/>
          </w:tcPr>
          <w:p>
            <w:pPr>
              <w:spacing w:before="20" w:after="20" w:line="240" w:lineRule="auto"/>
            </w:pPr>
            <w:r/>
            <w:r>
              <w:rPr>
                <w:rFonts w:ascii="Times New Roman" w:hAnsi="Times New Roman"/>
                <w:b w:val="0"/>
                <w:sz w:val="19"/>
              </w:rPr>
              <w:t>3.5  Data Preparation</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40%</w:t>
            </w:r>
          </w:p>
        </w:tc>
      </w:tr>
      <w:tr>
        <w:tc>
          <w:tcPr>
            <w:tcW w:type="dxa" w:w="4320"/>
          </w:tcPr>
          <w:p>
            <w:pPr>
              <w:spacing w:before="20" w:after="20" w:line="240" w:lineRule="auto"/>
            </w:pPr>
            <w:r/>
            <w:r>
              <w:rPr>
                <w:rFonts w:ascii="Times New Roman" w:hAnsi="Times New Roman"/>
                <w:b w:val="0"/>
                <w:sz w:val="19"/>
              </w:rPr>
              <w:t>3.6  Data Statistics</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50%</w:t>
            </w:r>
          </w:p>
        </w:tc>
      </w:tr>
      <w:tr>
        <w:tc>
          <w:tcPr>
            <w:tcW w:type="dxa" w:w="9360"/>
            <w:gridSpan w:val="5"/>
            <w:shd w:val="clear" w:color="auto" w:fill="F7F7F7"/>
          </w:tcPr>
          <w:p>
            <w:pPr>
              <w:spacing w:before="20" w:after="20" w:line="240" w:lineRule="auto"/>
            </w:pPr>
            <w:r/>
            <w:r>
              <w:rPr>
                <w:rFonts w:ascii="Times New Roman" w:hAnsi="Times New Roman"/>
                <w:b/>
                <w:sz w:val="19"/>
              </w:rPr>
              <w:t>4  Model Development</w:t>
            </w:r>
          </w:p>
        </w:tc>
      </w:tr>
      <w:tr>
        <w:tc>
          <w:tcPr>
            <w:tcW w:type="dxa" w:w="4320"/>
          </w:tcPr>
          <w:p>
            <w:pPr>
              <w:spacing w:before="20" w:after="20" w:line="240" w:lineRule="auto"/>
            </w:pPr>
            <w:r/>
            <w:r>
              <w:rPr>
                <w:rFonts w:ascii="Times New Roman" w:hAnsi="Times New Roman"/>
                <w:b w:val="0"/>
                <w:sz w:val="19"/>
              </w:rPr>
              <w:t>4.1  Model Proposals</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90%</w:t>
            </w:r>
          </w:p>
        </w:tc>
        <w:tc>
          <w:tcPr>
            <w:tcW w:type="dxa" w:w="1152"/>
          </w:tcPr>
          <w:p>
            <w:pPr>
              <w:spacing w:before="20" w:after="20" w:line="240" w:lineRule="auto"/>
              <w:jc w:val="center"/>
            </w:pPr>
            <w:r/>
            <w:r>
              <w:rPr>
                <w:rFonts w:ascii="Times New Roman" w:hAnsi="Times New Roman"/>
                <w:b w:val="0"/>
                <w:sz w:val="19"/>
              </w:rPr>
              <w:t>85%</w:t>
            </w:r>
          </w:p>
        </w:tc>
        <w:tc>
          <w:tcPr>
            <w:tcW w:type="dxa" w:w="1152"/>
          </w:tcPr>
          <w:p>
            <w:pPr>
              <w:spacing w:before="20" w:after="20" w:line="240" w:lineRule="auto"/>
              <w:jc w:val="center"/>
            </w:pPr>
            <w:r/>
            <w:r>
              <w:rPr>
                <w:rFonts w:ascii="Times New Roman" w:hAnsi="Times New Roman"/>
                <w:b w:val="0"/>
                <w:sz w:val="19"/>
              </w:rPr>
              <w:t>90%</w:t>
            </w:r>
          </w:p>
        </w:tc>
      </w:tr>
      <w:tr>
        <w:tc>
          <w:tcPr>
            <w:tcW w:type="dxa" w:w="4320"/>
          </w:tcPr>
          <w:p>
            <w:pPr>
              <w:spacing w:before="20" w:after="20" w:line="240" w:lineRule="auto"/>
            </w:pPr>
            <w:r/>
            <w:r>
              <w:rPr>
                <w:rFonts w:ascii="Times New Roman" w:hAnsi="Times New Roman"/>
                <w:b w:val="0"/>
                <w:sz w:val="19"/>
              </w:rPr>
              <w:t>4.2  Model Supports</w:t>
            </w:r>
          </w:p>
        </w:tc>
        <w:tc>
          <w:tcPr>
            <w:tcW w:type="dxa" w:w="1224"/>
          </w:tcPr>
          <w:p>
            <w:pPr>
              <w:spacing w:before="20" w:after="20" w:line="240" w:lineRule="auto"/>
              <w:jc w:val="center"/>
            </w:pPr>
            <w:r/>
            <w:r>
              <w:rPr>
                <w:rFonts w:ascii="Times New Roman" w:hAnsi="Times New Roman"/>
                <w:b w:val="0"/>
                <w:sz w:val="19"/>
              </w:rPr>
              <w:t>90%</w:t>
            </w:r>
          </w:p>
        </w:tc>
        <w:tc>
          <w:tcPr>
            <w:tcW w:type="dxa" w:w="1512"/>
          </w:tcPr>
          <w:p>
            <w:pPr>
              <w:spacing w:before="20" w:after="20" w:line="240" w:lineRule="auto"/>
              <w:jc w:val="center"/>
            </w:pPr>
            <w:r/>
            <w:r>
              <w:rPr>
                <w:rFonts w:ascii="Times New Roman" w:hAnsi="Times New Roman"/>
                <w:b w:val="0"/>
                <w:sz w:val="19"/>
              </w:rPr>
              <w:t>70%</w:t>
            </w:r>
          </w:p>
        </w:tc>
        <w:tc>
          <w:tcPr>
            <w:tcW w:type="dxa" w:w="1152"/>
          </w:tcPr>
          <w:p>
            <w:pPr>
              <w:spacing w:before="20" w:after="20" w:line="240" w:lineRule="auto"/>
              <w:jc w:val="center"/>
            </w:pPr>
            <w:r/>
            <w:r>
              <w:rPr>
                <w:rFonts w:ascii="Times New Roman" w:hAnsi="Times New Roman"/>
                <w:b w:val="0"/>
                <w:sz w:val="19"/>
              </w:rPr>
              <w:t>55%</w:t>
            </w:r>
          </w:p>
        </w:tc>
        <w:tc>
          <w:tcPr>
            <w:tcW w:type="dxa" w:w="1152"/>
          </w:tcPr>
          <w:p>
            <w:pPr>
              <w:spacing w:before="20" w:after="20" w:line="240" w:lineRule="auto"/>
              <w:jc w:val="center"/>
            </w:pPr>
            <w:r/>
            <w:r>
              <w:rPr>
                <w:rFonts w:ascii="Times New Roman" w:hAnsi="Times New Roman"/>
                <w:b w:val="0"/>
                <w:sz w:val="19"/>
              </w:rPr>
              <w:t>40%</w:t>
            </w:r>
          </w:p>
        </w:tc>
      </w:tr>
      <w:tr>
        <w:tc>
          <w:tcPr>
            <w:tcW w:type="dxa" w:w="4320"/>
          </w:tcPr>
          <w:p>
            <w:pPr>
              <w:spacing w:before="20" w:after="20" w:line="240" w:lineRule="auto"/>
            </w:pPr>
            <w:r/>
            <w:r>
              <w:rPr>
                <w:rFonts w:ascii="Times New Roman" w:hAnsi="Times New Roman"/>
                <w:b w:val="0"/>
                <w:sz w:val="19"/>
              </w:rPr>
              <w:t>4.3  Model Comparison and Justification</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85%</w:t>
            </w:r>
          </w:p>
        </w:tc>
        <w:tc>
          <w:tcPr>
            <w:tcW w:type="dxa" w:w="1152"/>
          </w:tcPr>
          <w:p>
            <w:pPr>
              <w:spacing w:before="20" w:after="20" w:line="240" w:lineRule="auto"/>
              <w:jc w:val="center"/>
            </w:pPr>
            <w:r/>
            <w:r>
              <w:rPr>
                <w:rFonts w:ascii="Times New Roman" w:hAnsi="Times New Roman"/>
                <w:b w:val="0"/>
                <w:sz w:val="19"/>
              </w:rPr>
              <w:t>70%</w:t>
            </w:r>
          </w:p>
        </w:tc>
        <w:tc>
          <w:tcPr>
            <w:tcW w:type="dxa" w:w="1152"/>
          </w:tcPr>
          <w:p>
            <w:pPr>
              <w:spacing w:before="20" w:after="20" w:line="240" w:lineRule="auto"/>
              <w:jc w:val="center"/>
            </w:pPr>
            <w:r/>
            <w:r>
              <w:rPr>
                <w:rFonts w:ascii="Times New Roman" w:hAnsi="Times New Roman"/>
                <w:b w:val="0"/>
                <w:sz w:val="19"/>
              </w:rPr>
              <w:t>85%</w:t>
            </w:r>
          </w:p>
        </w:tc>
      </w:tr>
      <w:tr>
        <w:tc>
          <w:tcPr>
            <w:tcW w:type="dxa" w:w="4320"/>
          </w:tcPr>
          <w:p>
            <w:pPr>
              <w:spacing w:before="20" w:after="20" w:line="240" w:lineRule="auto"/>
            </w:pPr>
            <w:r/>
            <w:r>
              <w:rPr>
                <w:rFonts w:ascii="Times New Roman" w:hAnsi="Times New Roman"/>
                <w:b w:val="0"/>
                <w:sz w:val="19"/>
              </w:rPr>
              <w:t>4.4  Model Evaluation Methods</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90%</w:t>
            </w:r>
          </w:p>
        </w:tc>
        <w:tc>
          <w:tcPr>
            <w:tcW w:type="dxa" w:w="1152"/>
          </w:tcPr>
          <w:p>
            <w:pPr>
              <w:spacing w:before="20" w:after="20" w:line="240" w:lineRule="auto"/>
              <w:jc w:val="center"/>
            </w:pPr>
            <w:r/>
            <w:r>
              <w:rPr>
                <w:rFonts w:ascii="Times New Roman" w:hAnsi="Times New Roman"/>
                <w:b w:val="0"/>
                <w:sz w:val="19"/>
              </w:rPr>
              <w:t>85%</w:t>
            </w:r>
          </w:p>
        </w:tc>
        <w:tc>
          <w:tcPr>
            <w:tcW w:type="dxa" w:w="1152"/>
          </w:tcPr>
          <w:p>
            <w:pPr>
              <w:spacing w:before="20" w:after="20" w:line="240" w:lineRule="auto"/>
              <w:jc w:val="center"/>
            </w:pPr>
            <w:r/>
            <w:r>
              <w:rPr>
                <w:rFonts w:ascii="Times New Roman" w:hAnsi="Times New Roman"/>
                <w:b w:val="0"/>
                <w:sz w:val="19"/>
              </w:rPr>
              <w:t>85%</w:t>
            </w:r>
          </w:p>
        </w:tc>
      </w:tr>
      <w:tr>
        <w:tc>
          <w:tcPr>
            <w:tcW w:type="dxa" w:w="4320"/>
          </w:tcPr>
          <w:p>
            <w:pPr>
              <w:spacing w:before="20" w:after="20" w:line="240" w:lineRule="auto"/>
            </w:pPr>
            <w:r/>
            <w:r>
              <w:rPr>
                <w:rFonts w:ascii="Times New Roman" w:hAnsi="Times New Roman"/>
                <w:b w:val="0"/>
                <w:sz w:val="19"/>
              </w:rPr>
              <w:t>4.5  First Model Implementation</w:t>
            </w:r>
          </w:p>
        </w:tc>
        <w:tc>
          <w:tcPr>
            <w:tcW w:type="dxa" w:w="1224"/>
          </w:tcPr>
          <w:p>
            <w:pPr>
              <w:spacing w:before="20" w:after="20" w:line="240" w:lineRule="auto"/>
              <w:jc w:val="center"/>
            </w:pPr>
            <w:r/>
            <w:r>
              <w:rPr>
                <w:rFonts w:ascii="Times New Roman" w:hAnsi="Times New Roman"/>
                <w:b w:val="0"/>
                <w:sz w:val="19"/>
              </w:rPr>
              <w:t>85%</w:t>
            </w:r>
          </w:p>
        </w:tc>
        <w:tc>
          <w:tcPr>
            <w:tcW w:type="dxa" w:w="1512"/>
          </w:tcPr>
          <w:p>
            <w:pPr>
              <w:spacing w:before="20" w:after="20" w:line="240" w:lineRule="auto"/>
              <w:jc w:val="center"/>
            </w:pPr>
            <w:r/>
            <w:r>
              <w:rPr>
                <w:rFonts w:ascii="Times New Roman" w:hAnsi="Times New Roman"/>
                <w:b w:val="0"/>
                <w:sz w:val="19"/>
              </w:rPr>
              <w:t>60%</w:t>
            </w:r>
          </w:p>
        </w:tc>
        <w:tc>
          <w:tcPr>
            <w:tcW w:type="dxa" w:w="1152"/>
          </w:tcPr>
          <w:p>
            <w:pPr>
              <w:spacing w:before="20" w:after="20" w:line="240" w:lineRule="auto"/>
              <w:jc w:val="center"/>
            </w:pPr>
            <w:r/>
            <w:r>
              <w:rPr>
                <w:rFonts w:ascii="Times New Roman" w:hAnsi="Times New Roman"/>
                <w:b w:val="0"/>
                <w:sz w:val="19"/>
              </w:rPr>
              <w:t>25%</w:t>
            </w:r>
          </w:p>
        </w:tc>
        <w:tc>
          <w:tcPr>
            <w:tcW w:type="dxa" w:w="1152"/>
          </w:tcPr>
          <w:p>
            <w:pPr>
              <w:spacing w:before="20" w:after="20" w:line="240" w:lineRule="auto"/>
              <w:jc w:val="center"/>
            </w:pPr>
            <w:r/>
            <w:r>
              <w:rPr>
                <w:rFonts w:ascii="Times New Roman" w:hAnsi="Times New Roman"/>
                <w:b w:val="0"/>
                <w:sz w:val="19"/>
              </w:rPr>
              <w:t>20%</w:t>
            </w:r>
          </w:p>
        </w:tc>
      </w:tr>
      <w:tr>
        <w:tc>
          <w:tcPr>
            <w:tcW w:type="dxa" w:w="4320"/>
          </w:tcPr>
          <w:p>
            <w:pPr>
              <w:spacing w:before="20" w:after="20" w:line="240" w:lineRule="auto"/>
            </w:pPr>
            <w:r/>
            <w:r>
              <w:rPr>
                <w:rFonts w:ascii="Times New Roman" w:hAnsi="Times New Roman"/>
                <w:b w:val="0"/>
                <w:sz w:val="19"/>
              </w:rPr>
              <w:t>4.6  Baseline Reproduction</w:t>
            </w:r>
          </w:p>
        </w:tc>
        <w:tc>
          <w:tcPr>
            <w:tcW w:type="dxa" w:w="1224"/>
          </w:tcPr>
          <w:p>
            <w:pPr>
              <w:spacing w:before="20" w:after="20" w:line="240" w:lineRule="auto"/>
              <w:jc w:val="center"/>
            </w:pPr>
            <w:r/>
            <w:r>
              <w:rPr>
                <w:rFonts w:ascii="Times New Roman" w:hAnsi="Times New Roman"/>
                <w:b w:val="0"/>
                <w:sz w:val="19"/>
              </w:rPr>
              <w:t>80%</w:t>
            </w:r>
          </w:p>
        </w:tc>
        <w:tc>
          <w:tcPr>
            <w:tcW w:type="dxa" w:w="1512"/>
          </w:tcPr>
          <w:p>
            <w:pPr>
              <w:spacing w:before="20" w:after="20" w:line="240" w:lineRule="auto"/>
              <w:jc w:val="center"/>
            </w:pPr>
            <w:r/>
            <w:r>
              <w:rPr>
                <w:rFonts w:ascii="Times New Roman" w:hAnsi="Times New Roman"/>
                <w:b w:val="0"/>
                <w:sz w:val="19"/>
              </w:rPr>
              <w:t>55%</w:t>
            </w:r>
          </w:p>
        </w:tc>
        <w:tc>
          <w:tcPr>
            <w:tcW w:type="dxa" w:w="1152"/>
          </w:tcPr>
          <w:p>
            <w:pPr>
              <w:spacing w:before="20" w:after="20" w:line="240" w:lineRule="auto"/>
              <w:jc w:val="center"/>
            </w:pPr>
            <w:r/>
            <w:r>
              <w:rPr>
                <w:rFonts w:ascii="Times New Roman" w:hAnsi="Times New Roman"/>
                <w:b w:val="0"/>
                <w:sz w:val="19"/>
              </w:rPr>
              <w:t>10%</w:t>
            </w:r>
          </w:p>
        </w:tc>
        <w:tc>
          <w:tcPr>
            <w:tcW w:type="dxa" w:w="1152"/>
          </w:tcPr>
          <w:p>
            <w:pPr>
              <w:spacing w:before="20" w:after="20" w:line="240" w:lineRule="auto"/>
              <w:jc w:val="center"/>
            </w:pPr>
            <w:r/>
            <w:r>
              <w:rPr>
                <w:rFonts w:ascii="Times New Roman" w:hAnsi="Times New Roman"/>
                <w:b w:val="0"/>
                <w:sz w:val="19"/>
              </w:rPr>
              <w:t>20%</w:t>
            </w:r>
          </w:p>
        </w:tc>
      </w:tr>
      <w:tr>
        <w:tc>
          <w:tcPr>
            <w:tcW w:type="dxa" w:w="4320"/>
          </w:tcPr>
          <w:p>
            <w:pPr>
              <w:spacing w:before="20" w:after="20" w:line="240" w:lineRule="auto"/>
            </w:pPr>
            <w:r/>
            <w:r>
              <w:rPr>
                <w:rFonts w:ascii="Times New Roman" w:hAnsi="Times New Roman"/>
                <w:b w:val="0"/>
                <w:sz w:val="19"/>
              </w:rPr>
              <w:t>5  Prototype and System Implementation</w:t>
            </w:r>
          </w:p>
        </w:tc>
        <w:tc>
          <w:tcPr>
            <w:tcW w:type="dxa" w:w="1224"/>
          </w:tcPr>
          <w:p>
            <w:pPr>
              <w:spacing w:before="20" w:after="20" w:line="240" w:lineRule="auto"/>
              <w:jc w:val="center"/>
            </w:pPr>
            <w:r/>
            <w:r>
              <w:rPr>
                <w:rFonts w:ascii="Times New Roman" w:hAnsi="Times New Roman"/>
                <w:b w:val="0"/>
                <w:sz w:val="19"/>
              </w:rPr>
              <w:t>60%</w:t>
            </w:r>
          </w:p>
        </w:tc>
        <w:tc>
          <w:tcPr>
            <w:tcW w:type="dxa" w:w="1512"/>
          </w:tcPr>
          <w:p>
            <w:pPr>
              <w:spacing w:before="20" w:after="20" w:line="240" w:lineRule="auto"/>
              <w:jc w:val="center"/>
            </w:pPr>
            <w:r/>
            <w:r>
              <w:rPr>
                <w:rFonts w:ascii="Times New Roman" w:hAnsi="Times New Roman"/>
                <w:b w:val="0"/>
                <w:sz w:val="19"/>
              </w:rPr>
              <w:t>25%</w:t>
            </w:r>
          </w:p>
        </w:tc>
        <w:tc>
          <w:tcPr>
            <w:tcW w:type="dxa" w:w="1152"/>
          </w:tcPr>
          <w:p>
            <w:pPr>
              <w:spacing w:before="20" w:after="20" w:line="240" w:lineRule="auto"/>
              <w:jc w:val="center"/>
            </w:pPr>
            <w:r/>
            <w:r>
              <w:rPr>
                <w:rFonts w:ascii="Times New Roman" w:hAnsi="Times New Roman"/>
                <w:b w:val="0"/>
                <w:sz w:val="19"/>
              </w:rPr>
              <w:t>5%</w:t>
            </w:r>
          </w:p>
        </w:tc>
        <w:tc>
          <w:tcPr>
            <w:tcW w:type="dxa" w:w="1152"/>
          </w:tcPr>
          <w:p>
            <w:pPr>
              <w:spacing w:before="20" w:after="20" w:line="240" w:lineRule="auto"/>
              <w:jc w:val="center"/>
            </w:pPr>
            <w:r/>
            <w:r>
              <w:rPr>
                <w:rFonts w:ascii="Times New Roman" w:hAnsi="Times New Roman"/>
                <w:b w:val="0"/>
                <w:sz w:val="19"/>
              </w:rPr>
              <w:t>5%</w:t>
            </w:r>
          </w:p>
        </w:tc>
      </w:tr>
      <w:tr>
        <w:tc>
          <w:tcPr>
            <w:tcW w:type="dxa" w:w="4320"/>
          </w:tcPr>
          <w:p>
            <w:pPr>
              <w:spacing w:before="20" w:after="20" w:line="240" w:lineRule="auto"/>
            </w:pPr>
            <w:r/>
            <w:r>
              <w:rPr>
                <w:rFonts w:ascii="Times New Roman" w:hAnsi="Times New Roman"/>
                <w:b w:val="0"/>
                <w:sz w:val="19"/>
              </w:rPr>
              <w:t>6  Benchmarking, Evaluation, and Failure Study</w:t>
            </w:r>
          </w:p>
        </w:tc>
        <w:tc>
          <w:tcPr>
            <w:tcW w:type="dxa" w:w="1224"/>
          </w:tcPr>
          <w:p>
            <w:pPr>
              <w:spacing w:before="20" w:after="20" w:line="240" w:lineRule="auto"/>
              <w:jc w:val="center"/>
            </w:pPr>
            <w:r/>
            <w:r>
              <w:rPr>
                <w:rFonts w:ascii="Times New Roman" w:hAnsi="Times New Roman"/>
                <w:b w:val="0"/>
                <w:sz w:val="19"/>
              </w:rPr>
              <w:t>55%</w:t>
            </w:r>
          </w:p>
        </w:tc>
        <w:tc>
          <w:tcPr>
            <w:tcW w:type="dxa" w:w="1512"/>
          </w:tcPr>
          <w:p>
            <w:pPr>
              <w:spacing w:before="20" w:after="20" w:line="240" w:lineRule="auto"/>
              <w:jc w:val="center"/>
            </w:pPr>
            <w:r/>
            <w:r>
              <w:rPr>
                <w:rFonts w:ascii="Times New Roman" w:hAnsi="Times New Roman"/>
                <w:b w:val="0"/>
                <w:sz w:val="19"/>
              </w:rPr>
              <w:t>30%</w:t>
            </w:r>
          </w:p>
        </w:tc>
        <w:tc>
          <w:tcPr>
            <w:tcW w:type="dxa" w:w="1152"/>
          </w:tcPr>
          <w:p>
            <w:pPr>
              <w:spacing w:before="20" w:after="20" w:line="240" w:lineRule="auto"/>
              <w:jc w:val="center"/>
            </w:pPr>
            <w:r/>
            <w:r>
              <w:rPr>
                <w:rFonts w:ascii="Times New Roman" w:hAnsi="Times New Roman"/>
                <w:b w:val="0"/>
                <w:sz w:val="19"/>
              </w:rPr>
              <w:t>15%</w:t>
            </w:r>
          </w:p>
        </w:tc>
        <w:tc>
          <w:tcPr>
            <w:tcW w:type="dxa" w:w="1152"/>
          </w:tcPr>
          <w:p>
            <w:pPr>
              <w:spacing w:before="20" w:after="20" w:line="240" w:lineRule="auto"/>
              <w:jc w:val="center"/>
            </w:pPr>
            <w:r/>
            <w:r>
              <w:rPr>
                <w:rFonts w:ascii="Times New Roman" w:hAnsi="Times New Roman"/>
                <w:b w:val="0"/>
                <w:sz w:val="19"/>
              </w:rPr>
              <w:t>10%</w:t>
            </w:r>
          </w:p>
        </w:tc>
      </w:tr>
      <w:tr>
        <w:tc>
          <w:tcPr>
            <w:tcW w:type="dxa" w:w="4320"/>
          </w:tcPr>
          <w:p>
            <w:pPr>
              <w:spacing w:before="20" w:after="20" w:line="240" w:lineRule="auto"/>
            </w:pPr>
            <w:r/>
            <w:r>
              <w:rPr>
                <w:rFonts w:ascii="Times New Roman" w:hAnsi="Times New Roman"/>
                <w:b w:val="0"/>
                <w:sz w:val="19"/>
              </w:rPr>
              <w:t>7  Reproducibility</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90%</w:t>
            </w:r>
          </w:p>
        </w:tc>
        <w:tc>
          <w:tcPr>
            <w:tcW w:type="dxa" w:w="1152"/>
          </w:tcPr>
          <w:p>
            <w:pPr>
              <w:spacing w:before="20" w:after="20" w:line="240" w:lineRule="auto"/>
              <w:jc w:val="center"/>
            </w:pPr>
            <w:r/>
            <w:r>
              <w:rPr>
                <w:rFonts w:ascii="Times New Roman" w:hAnsi="Times New Roman"/>
                <w:b w:val="0"/>
                <w:sz w:val="19"/>
              </w:rPr>
              <w:t>85%</w:t>
            </w:r>
          </w:p>
        </w:tc>
        <w:tc>
          <w:tcPr>
            <w:tcW w:type="dxa" w:w="1152"/>
          </w:tcPr>
          <w:p>
            <w:pPr>
              <w:spacing w:before="20" w:after="20" w:line="240" w:lineRule="auto"/>
              <w:jc w:val="center"/>
            </w:pPr>
            <w:r/>
            <w:r>
              <w:rPr>
                <w:rFonts w:ascii="Times New Roman" w:hAnsi="Times New Roman"/>
                <w:b w:val="0"/>
                <w:sz w:val="19"/>
              </w:rPr>
              <w:t>60%</w:t>
            </w:r>
          </w:p>
        </w:tc>
      </w:tr>
      <w:tr>
        <w:tc>
          <w:tcPr>
            <w:tcW w:type="dxa" w:w="4320"/>
          </w:tcPr>
          <w:p>
            <w:pPr>
              <w:spacing w:before="20" w:after="20" w:line="240" w:lineRule="auto"/>
            </w:pPr>
            <w:r/>
            <w:r>
              <w:rPr>
                <w:rFonts w:ascii="Times New Roman" w:hAnsi="Times New Roman"/>
                <w:b w:val="0"/>
                <w:sz w:val="19"/>
              </w:rPr>
              <w:t>8  298B Plan</w:t>
            </w:r>
          </w:p>
        </w:tc>
        <w:tc>
          <w:tcPr>
            <w:tcW w:type="dxa" w:w="1224"/>
          </w:tcPr>
          <w:p>
            <w:pPr>
              <w:spacing w:before="20" w:after="20" w:line="240" w:lineRule="auto"/>
              <w:jc w:val="center"/>
            </w:pPr>
            <w:r/>
            <w:r>
              <w:rPr>
                <w:rFonts w:ascii="Times New Roman" w:hAnsi="Times New Roman"/>
                <w:b w:val="0"/>
                <w:sz w:val="19"/>
              </w:rPr>
              <w:t>55%</w:t>
            </w:r>
          </w:p>
        </w:tc>
        <w:tc>
          <w:tcPr>
            <w:tcW w:type="dxa" w:w="1512"/>
          </w:tcPr>
          <w:p>
            <w:pPr>
              <w:spacing w:before="20" w:after="20" w:line="240" w:lineRule="auto"/>
              <w:jc w:val="center"/>
            </w:pPr>
            <w:r/>
            <w:r>
              <w:rPr>
                <w:rFonts w:ascii="Times New Roman" w:hAnsi="Times New Roman"/>
                <w:b w:val="0"/>
                <w:sz w:val="19"/>
              </w:rPr>
              <w:t>25%</w:t>
            </w:r>
          </w:p>
        </w:tc>
        <w:tc>
          <w:tcPr>
            <w:tcW w:type="dxa" w:w="1152"/>
          </w:tcPr>
          <w:p>
            <w:pPr>
              <w:spacing w:before="20" w:after="20" w:line="240" w:lineRule="auto"/>
              <w:jc w:val="center"/>
            </w:pPr>
            <w:r/>
            <w:r>
              <w:rPr>
                <w:rFonts w:ascii="Times New Roman" w:hAnsi="Times New Roman"/>
                <w:b w:val="0"/>
                <w:sz w:val="19"/>
              </w:rPr>
              <w:t>10%</w:t>
            </w:r>
          </w:p>
        </w:tc>
        <w:tc>
          <w:tcPr>
            <w:tcW w:type="dxa" w:w="1152"/>
          </w:tcPr>
          <w:p>
            <w:pPr>
              <w:spacing w:before="20" w:after="20" w:line="240" w:lineRule="auto"/>
              <w:jc w:val="center"/>
            </w:pPr>
            <w:r/>
            <w:r>
              <w:rPr>
                <w:rFonts w:ascii="Times New Roman" w:hAnsi="Times New Roman"/>
                <w:b w:val="0"/>
                <w:sz w:val="19"/>
              </w:rPr>
              <w:t>5%</w:t>
            </w:r>
          </w:p>
        </w:tc>
      </w:tr>
      <w:tr>
        <w:tc>
          <w:tcPr>
            <w:tcW w:type="dxa" w:w="4320"/>
          </w:tcPr>
          <w:p>
            <w:pPr>
              <w:spacing w:before="20" w:after="20" w:line="240" w:lineRule="auto"/>
            </w:pPr>
            <w:r/>
            <w:r>
              <w:rPr>
                <w:rFonts w:ascii="Times New Roman" w:hAnsi="Times New Roman"/>
                <w:b w:val="0"/>
                <w:sz w:val="19"/>
              </w:rPr>
              <w:t>References</w:t>
            </w:r>
          </w:p>
        </w:tc>
        <w:tc>
          <w:tcPr>
            <w:tcW w:type="dxa" w:w="1224"/>
          </w:tcPr>
          <w:p>
            <w:pPr>
              <w:spacing w:before="20" w:after="20" w:line="240" w:lineRule="auto"/>
              <w:jc w:val="center"/>
            </w:pPr>
            <w:r/>
            <w:r>
              <w:rPr>
                <w:rFonts w:ascii="Times New Roman" w:hAnsi="Times New Roman"/>
                <w:b w:val="0"/>
                <w:sz w:val="19"/>
              </w:rPr>
              <w:t>100%</w:t>
            </w:r>
          </w:p>
        </w:tc>
        <w:tc>
          <w:tcPr>
            <w:tcW w:type="dxa" w:w="1512"/>
          </w:tcPr>
          <w:p>
            <w:pPr>
              <w:spacing w:before="20" w:after="20" w:line="240" w:lineRule="auto"/>
              <w:jc w:val="center"/>
            </w:pPr>
            <w:r/>
            <w:r>
              <w:rPr>
                <w:rFonts w:ascii="Times New Roman" w:hAnsi="Times New Roman"/>
                <w:b w:val="0"/>
                <w:sz w:val="19"/>
              </w:rPr>
              <w:t>90%</w:t>
            </w:r>
          </w:p>
        </w:tc>
        <w:tc>
          <w:tcPr>
            <w:tcW w:type="dxa" w:w="1152"/>
          </w:tcPr>
          <w:p>
            <w:pPr>
              <w:spacing w:before="20" w:after="20" w:line="240" w:lineRule="auto"/>
              <w:jc w:val="center"/>
            </w:pPr>
            <w:r/>
            <w:r>
              <w:rPr>
                <w:rFonts w:ascii="Times New Roman" w:hAnsi="Times New Roman"/>
                <w:b w:val="0"/>
                <w:sz w:val="19"/>
              </w:rPr>
              <w:t>95%</w:t>
            </w:r>
          </w:p>
        </w:tc>
        <w:tc>
          <w:tcPr>
            <w:tcW w:type="dxa" w:w="1152"/>
          </w:tcPr>
          <w:p>
            <w:pPr>
              <w:spacing w:before="20" w:after="20" w:line="240" w:lineRule="auto"/>
              <w:jc w:val="center"/>
            </w:pPr>
            <w:r/>
            <w:r>
              <w:rPr>
                <w:rFonts w:ascii="Times New Roman" w:hAnsi="Times New Roman"/>
                <w:b w:val="0"/>
                <w:sz w:val="19"/>
              </w:rPr>
              <w:t>95%</w:t>
            </w:r>
          </w:p>
        </w:tc>
      </w:tr>
    </w:tbl>
    <w:p>
      <w:r>
        <w:rPr>
          <w:rFonts w:ascii="Times New Roman" w:hAnsi="Times New Roman"/>
          <w:b w:val="0"/>
          <w:i w:val="0"/>
        </w:rPr>
        <w:t>Rows 3.1 to 3.6, Data Engineering. Complete is 90 to 95% and Document is 35 to 50% on every row, a gap of 45 to 60 points. The engineering has run ahead of the writing, and the reason is scheduling rather than neglect. The four-stage pipeline (scripts/run_pipeline.py, src/lrcs/) is merged, has been run end to end on the real HinGE corpus in 11.96 seconds, and its outputs are committed: reports/data_statistics.json, data/processed/manifests/hinge_split_manifest.json, four EDA figures under reports/figures/, two run records under runs/, and a demonstration notebook. The test suite covering it reports 38 passing tests.</w:t>
      </w:r>
    </w:p>
    <w:p>
      <w:r>
        <w:rPr>
          <w:rFonts w:ascii="Times New Roman" w:hAnsi="Times New Roman"/>
          <w:b w:val="0"/>
          <w:i w:val="0"/>
        </w:rPr>
        <w:t>What does not exist is the Section 3 prose. Sections 3.1 to 3.6 belong to Workbook 2, due 11 November, and that writing is filed as Linear 298-57 with a 6 November date and an owner. Writing it now would put Workbook 2 content into a progress report. The numbers those sections will carry are already measured and committed, so this is a documentation lag against a known date rather than unfinished work:</w:t>
      </w:r>
    </w:p>
    <w:p>
      <w:pPr>
        <w:pStyle w:val="ListBullet"/>
        <w:spacing w:after="40"/>
      </w:pPr>
      <w:r>
        <w:rPr>
          <w:rFonts w:ascii="Times New Roman" w:hAnsi="Times New Roman"/>
          <w:sz w:val="21"/>
        </w:rPr>
        <w:t>1,976 source rows yielding 4,799 human references, measured off the file against 4,803 reported in the source paper; both figures are recorded and the four-reference difference is open rather than hidden</w:t>
      </w:r>
    </w:p>
    <w:p>
      <w:pPr>
        <w:pStyle w:val="ListBullet"/>
        <w:spacing w:after="40"/>
      </w:pPr>
      <w:r>
        <w:rPr>
          <w:rFonts w:ascii="Times New Roman" w:hAnsi="Times New Roman"/>
          <w:sz w:val="21"/>
        </w:rPr>
        <w:t>six cleaning filters removing 125 records, each removal charged to the filter that rejected it, leaving 4,674</w:t>
      </w:r>
    </w:p>
    <w:p>
      <w:pPr>
        <w:pStyle w:val="ListBullet"/>
        <w:spacing w:after="40"/>
      </w:pPr>
      <w:r>
        <w:rPr>
          <w:rFonts w:ascii="Times New Roman" w:hAnsi="Times New Roman"/>
          <w:sz w:val="21"/>
        </w:rPr>
        <w:t>1,938 unique sources grouped into 1,937 near-duplicate clusters, with splits of 3,738 / 468 / 468 committed under SHA-256 hashes</w:t>
      </w:r>
    </w:p>
    <w:p>
      <w:pPr>
        <w:pStyle w:val="ListBullet"/>
        <w:spacing w:after="40"/>
      </w:pPr>
      <w:r>
        <w:rPr>
          <w:rFonts w:ascii="Times New Roman" w:hAnsi="Times New Roman"/>
          <w:sz w:val="21"/>
        </w:rPr>
        <w:t>zero exact and zero near-duplicate overlaps at Jaccard 0.7 or above across every split pair, enforced by a leakage gate that halts the run rather than warning</w:t>
      </w:r>
    </w:p>
    <w:p>
      <w:pPr>
        <w:pStyle w:val="ListBullet"/>
        <w:spacing w:after="40"/>
      </w:pPr>
      <w:r>
        <w:rPr>
          <w:rFonts w:ascii="Times New Roman" w:hAnsi="Times New Roman"/>
          <w:sz w:val="21"/>
        </w:rPr>
        <w:t>CMI 25.3, Switch-Point Fraction 0.240, M-index 0.693, and 86.1% of sentences code-mixed at 68.2% tagger coverage</w:t>
      </w:r>
    </w:p>
    <w:p>
      <w:pPr>
        <w:pStyle w:val="ListBullet"/>
        <w:spacing w:after="40"/>
      </w:pPr>
      <w:r>
        <w:rPr>
          <w:rFonts w:ascii="Times New Roman" w:hAnsi="Times New Roman"/>
          <w:sz w:val="21"/>
        </w:rPr>
        <w:t>tokenizer fertility rising from 1.024 on English to 1.501 on Hinglish, vocabulary coverage falling from 98.5% to 52.6%, and a spelling-variant burden of 1.832 against a floor of 1.0</w:t>
      </w:r>
    </w:p>
    <w:p>
      <w:r>
        <w:rPr>
          <w:rFonts w:ascii="Times New Roman" w:hAnsi="Times New Roman"/>
          <w:b w:val="0"/>
          <w:i w:val="0"/>
        </w:rPr>
        <w:t>No other row differs by more than 40 points. Row 2.3 runs the other way, Document 90% against Complete 60%, because the resource plan is fully written while the GPU allocation it depends on is still unconfirmed. That is a 30-point difference and is carried in Part D as a blocker rather than as a documentation gap.</w:t>
      </w:r>
    </w:p>
    <w:p>
      <w:r>
        <w:rPr>
          <w:rFonts w:ascii="Times New Roman" w:hAnsi="Times New Roman"/>
          <w:b w:val="0"/>
          <w:i w:val="0"/>
        </w:rPr>
        <w:t>Three rows are deliberately low and would be easy to overstate. Row 4.5 is at 25% because, although both model scripts are merged and were executed on a GPU on 22 October, those runs are a single-seed smoke test on synthetic data with a 0.5B stand-in model and docs/COMPUTE_BUDGET.md states in terms that none of it is a reportable result. Row 4.6 is at 10% because the published baseline has no code release and the reproduction has not been run. Row 5 is at 5% because nothing is deployed. Every percentage above was checked against an artifact on the main branch; where the repository and the Linear board disagreed, the repository was taken as authoritative and eight issues were reset accordingly under 298-45.</w:t>
      </w:r>
    </w:p>
    <w:p>
      <w:r>
        <w:br w:type="page"/>
      </w:r>
    </w:p>
    <w:p>
      <w:pPr>
        <w:spacing w:before="360" w:after="160"/>
      </w:pPr>
      <w:r>
        <w:rPr>
          <w:rFonts w:ascii="Times New Roman" w:hAnsi="Times New Roman"/>
          <w:b/>
          <w:i w:val="0"/>
          <w:sz w:val="28"/>
        </w:rPr>
        <w:t>Part B  ·  Minutes of Meetings</w:t>
      </w:r>
    </w:p>
    <w:p>
      <w:pPr>
        <w:spacing w:after="0"/>
      </w:pPr>
      <w:r>
        <w:rPr>
          <w:rFonts w:ascii="Times New Roman" w:hAnsi="Times New Roman"/>
          <w:b/>
          <w:i w:val="0"/>
          <w:sz w:val="21"/>
        </w:rPr>
        <w:t>Time and date: 6:00 pm to 8:30 pm on 10/08/2026</w:t>
      </w:r>
    </w:p>
    <w:p>
      <w:pPr>
        <w:spacing w:after="0"/>
      </w:pPr>
      <w:r>
        <w:rPr>
          <w:rFonts w:ascii="Times New Roman" w:hAnsi="Times New Roman"/>
          <w:b w:val="0"/>
          <w:i w:val="0"/>
          <w:sz w:val="21"/>
        </w:rPr>
        <w:t>Location / media: On campus / Team Meeting 1, graded checkpoint session</w:t>
      </w:r>
    </w:p>
    <w:p>
      <w:pPr>
        <w:spacing w:after="80"/>
      </w:pPr>
      <w:r>
        <w:rPr>
          <w:rFonts w:ascii="Times New Roman" w:hAnsi="Times New Roman"/>
          <w:b w:val="0"/>
          <w:i w:val="0"/>
          <w:sz w:val="21"/>
        </w:rPr>
        <w:t>Participants: Savalia, Shevkar, Singh, Thomas Lnu, Waghmare (all five); the instructor and the ISA</w:t>
      </w:r>
    </w:p>
    <w:tbl>
      <w:tblPr>
        <w:tblW w:type="auto" w:w="0"/>
        <w:jc w:val="left"/>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40"/>
        <w:gridCol w:w="2340"/>
        <w:gridCol w:w="2340"/>
        <w:gridCol w:w="2340"/>
      </w:tblGrid>
      <w:tr>
        <w:tc>
          <w:tcPr>
            <w:tcW w:type="dxa" w:w="864"/>
            <w:shd w:val="clear" w:color="auto" w:fill="EFEFEF"/>
          </w:tcPr>
          <w:p>
            <w:pPr>
              <w:spacing w:before="20" w:after="20" w:line="240" w:lineRule="auto"/>
            </w:pPr>
            <w:r/>
            <w:r>
              <w:rPr>
                <w:rFonts w:ascii="Times New Roman" w:hAnsi="Times New Roman"/>
                <w:b/>
                <w:sz w:val="19"/>
              </w:rPr>
              <w:t>Section</w:t>
            </w:r>
          </w:p>
        </w:tc>
        <w:tc>
          <w:tcPr>
            <w:tcW w:type="dxa" w:w="3384"/>
            <w:shd w:val="clear" w:color="auto" w:fill="EFEFEF"/>
          </w:tcPr>
          <w:p>
            <w:pPr>
              <w:spacing w:before="20" w:after="20" w:line="240" w:lineRule="auto"/>
            </w:pPr>
            <w:r/>
            <w:r>
              <w:rPr>
                <w:rFonts w:ascii="Times New Roman" w:hAnsi="Times New Roman"/>
                <w:b/>
                <w:sz w:val="19"/>
              </w:rPr>
              <w:t>Achievements</w:t>
            </w:r>
          </w:p>
        </w:tc>
        <w:tc>
          <w:tcPr>
            <w:tcW w:type="dxa" w:w="2520"/>
            <w:shd w:val="clear" w:color="auto" w:fill="EFEFEF"/>
          </w:tcPr>
          <w:p>
            <w:pPr>
              <w:spacing w:before="20" w:after="20" w:line="240" w:lineRule="auto"/>
            </w:pPr>
            <w:r/>
            <w:r>
              <w:rPr>
                <w:rFonts w:ascii="Times New Roman" w:hAnsi="Times New Roman"/>
                <w:b/>
                <w:sz w:val="19"/>
              </w:rPr>
              <w:t>Issues</w:t>
            </w:r>
          </w:p>
        </w:tc>
        <w:tc>
          <w:tcPr>
            <w:tcW w:type="dxa" w:w="2592"/>
            <w:shd w:val="clear" w:color="auto" w:fill="EFEFEF"/>
          </w:tcPr>
          <w:p>
            <w:pPr>
              <w:spacing w:before="20" w:after="20" w:line="240" w:lineRule="auto"/>
            </w:pPr>
            <w:r/>
            <w:r>
              <w:rPr>
                <w:rFonts w:ascii="Times New Roman" w:hAnsi="Times New Roman"/>
                <w:b/>
                <w:sz w:val="19"/>
              </w:rPr>
              <w:t>Recommended Solutions</w:t>
            </w:r>
          </w:p>
        </w:tc>
      </w:tr>
      <w:tr>
        <w:tc>
          <w:tcPr>
            <w:tcW w:type="dxa" w:w="864"/>
          </w:tcPr>
          <w:p>
            <w:pPr>
              <w:spacing w:before="20" w:after="20" w:line="240" w:lineRule="auto"/>
            </w:pPr>
            <w:r/>
            <w:r>
              <w:rPr>
                <w:rFonts w:ascii="Times New Roman" w:hAnsi="Times New Roman"/>
                <w:b w:val="0"/>
                <w:sz w:val="19"/>
              </w:rPr>
              <w:t>1.4</w:t>
            </w:r>
          </w:p>
        </w:tc>
        <w:tc>
          <w:tcPr>
            <w:tcW w:type="dxa" w:w="3384"/>
          </w:tcPr>
          <w:p>
            <w:pPr>
              <w:spacing w:before="20" w:after="20" w:line="240" w:lineRule="auto"/>
            </w:pPr>
            <w:r/>
            <w:r>
              <w:rPr>
                <w:rFonts w:ascii="Times New Roman" w:hAnsi="Times New Roman"/>
                <w:b w:val="0"/>
                <w:sz w:val="19"/>
              </w:rPr>
              <w:t>• Resolved from Progress Report 1: the technology survey now resolves every model identifier against its official Hugging Face model card and gives the command to repeat the check, closing the earlier issue of a draft naming a configuration that does not exist</w:t>
            </w:r>
          </w:p>
        </w:tc>
        <w:tc>
          <w:tcPr>
            <w:tcW w:type="dxa" w:w="2520"/>
          </w:tcPr>
          <w:p>
            <w:pPr>
              <w:spacing w:before="20" w:after="20" w:line="240" w:lineRule="auto"/>
            </w:pPr>
            <w:r/>
            <w:r>
              <w:rPr>
                <w:rFonts w:ascii="Times New Roman" w:hAnsi="Times New Roman"/>
                <w:b w:val="0"/>
                <w:sz w:val="19"/>
              </w:rPr>
              <w:t>1. Instructor and ISA: review the work presented, do more research, find more research papers, and implement accordingly</w:t>
            </w:r>
          </w:p>
        </w:tc>
        <w:tc>
          <w:tcPr>
            <w:tcW w:type="dxa" w:w="2592"/>
          </w:tcPr>
          <w:p>
            <w:pPr>
              <w:spacing w:before="20" w:after="20" w:line="240" w:lineRule="auto"/>
            </w:pPr>
            <w:r/>
            <w:r>
              <w:rPr>
                <w:rFonts w:ascii="Times New Roman" w:hAnsi="Times New Roman"/>
                <w:b w:val="0"/>
                <w:sz w:val="19"/>
              </w:rPr>
              <w:t>1. Review sections 1.4 and 1.5 against recent code-switching MT and evaluation work; add the papers that change a design decision and implement what they change in the pipeline, harness or models (Jenil with all members)</w:t>
            </w:r>
          </w:p>
        </w:tc>
      </w:tr>
      <w:tr>
        <w:tc>
          <w:tcPr>
            <w:tcW w:type="dxa" w:w="864"/>
          </w:tcPr>
          <w:p>
            <w:pPr>
              <w:spacing w:before="20" w:after="20" w:line="240" w:lineRule="auto"/>
            </w:pPr>
            <w:r/>
            <w:r>
              <w:rPr>
                <w:rFonts w:ascii="Times New Roman" w:hAnsi="Times New Roman"/>
                <w:b w:val="0"/>
                <w:sz w:val="19"/>
              </w:rPr>
              <w:t>1.5</w:t>
            </w:r>
          </w:p>
        </w:tc>
        <w:tc>
          <w:tcPr>
            <w:tcW w:type="dxa" w:w="3384"/>
          </w:tcPr>
          <w:p>
            <w:pPr>
              <w:spacing w:before="20" w:after="20" w:line="240" w:lineRule="auto"/>
            </w:pPr>
            <w:r/>
            <w:r>
              <w:rPr>
                <w:rFonts w:ascii="Times New Roman" w:hAnsi="Times New Roman"/>
                <w:b w:val="0"/>
                <w:sz w:val="19"/>
              </w:rPr>
              <w:t>• Technology and literature surveys merged with comparison tables</w:t>
            </w:r>
          </w:p>
        </w:tc>
        <w:tc>
          <w:tcPr>
            <w:tcW w:type="dxa" w:w="2520"/>
          </w:tcPr>
          <w:p>
            <w:pPr>
              <w:spacing w:before="20" w:after="20" w:line="240" w:lineRule="auto"/>
            </w:pPr>
            <w:r/>
            <w:r>
              <w:rPr>
                <w:rFonts w:ascii="Times New Roman" w:hAnsi="Times New Roman"/>
                <w:b w:val="0"/>
                <w:sz w:val="19"/>
              </w:rPr>
              <w:t>1. Literature base too narrow for the design decisions it supports</w:t>
            </w:r>
          </w:p>
        </w:tc>
        <w:tc>
          <w:tcPr>
            <w:tcW w:type="dxa" w:w="2592"/>
          </w:tcPr>
          <w:p>
            <w:pPr>
              <w:spacing w:before="20" w:after="20" w:line="240" w:lineRule="auto"/>
            </w:pPr>
            <w:r/>
            <w:r>
              <w:rPr>
                <w:rFonts w:ascii="Times New Roman" w:hAnsi="Times New Roman"/>
                <w:b w:val="0"/>
                <w:sz w:val="19"/>
              </w:rPr>
              <w:t>1. Extend 1.5 with recent code-switching work and carry the findings into the code, not only the survey</w:t>
            </w:r>
          </w:p>
        </w:tc>
      </w:tr>
      <w:tr>
        <w:tc>
          <w:tcPr>
            <w:tcW w:type="dxa" w:w="864"/>
          </w:tcPr>
          <w:p>
            <w:pPr>
              <w:spacing w:before="20" w:after="20" w:line="240" w:lineRule="auto"/>
            </w:pPr>
            <w:r/>
            <w:r>
              <w:rPr>
                <w:rFonts w:ascii="Times New Roman" w:hAnsi="Times New Roman"/>
                <w:b w:val="0"/>
                <w:sz w:val="19"/>
              </w:rPr>
              <w:t>3.x</w:t>
            </w:r>
          </w:p>
        </w:tc>
        <w:tc>
          <w:tcPr>
            <w:tcW w:type="dxa" w:w="3384"/>
          </w:tcPr>
          <w:p>
            <w:pPr>
              <w:spacing w:before="20" w:after="20" w:line="240" w:lineRule="auto"/>
            </w:pPr>
            <w:r/>
            <w:r>
              <w:rPr>
                <w:rFonts w:ascii="Times New Roman" w:hAnsi="Times New Roman"/>
                <w:b w:val="0"/>
                <w:sz w:val="19"/>
              </w:rPr>
              <w:t>• Presented the four-stage pipeline live from a fresh clone: ingest, clean, split with leakage gate, statistics</w:t>
            </w:r>
          </w:p>
          <w:p>
            <w:pPr>
              <w:spacing w:before="20" w:after="20" w:line="240" w:lineRule="auto"/>
            </w:pPr>
            <w:r>
              <w:rPr>
                <w:rFonts w:ascii="Times New Roman" w:hAnsi="Times New Roman"/>
                <w:b w:val="0"/>
                <w:sz w:val="19"/>
              </w:rPr>
              <w:t>• Demonstrated the leakage gate halting on an injected test source</w:t>
            </w:r>
          </w:p>
          <w:p>
            <w:pPr>
              <w:spacing w:before="20" w:after="20" w:line="240" w:lineRule="auto"/>
            </w:pPr>
            <w:r>
              <w:rPr>
                <w:rFonts w:ascii="Times New Roman" w:hAnsi="Times New Roman"/>
                <w:b w:val="0"/>
                <w:sz w:val="19"/>
              </w:rPr>
              <w:t>• Resolved from Progress Report 1: HinGE's released splits are not mutually exclusive, so splits were re-derived from 1,938 unique sources with 0 exact and 0 near-duplicate overlaps, committed under SHA-256 hashes</w:t>
            </w:r>
          </w:p>
          <w:p>
            <w:pPr>
              <w:spacing w:before="20" w:after="20" w:line="240" w:lineRule="auto"/>
            </w:pPr>
            <w:r>
              <w:rPr>
                <w:rFonts w:ascii="Times New Roman" w:hAnsi="Times New Roman"/>
                <w:b w:val="0"/>
                <w:sz w:val="19"/>
              </w:rPr>
              <w:t>• Resolved from Progress Report 1: the 4,803 reference count is now measured directly off the file at 4,799, with both figures reported</w:t>
            </w:r>
          </w:p>
        </w:tc>
        <w:tc>
          <w:tcPr>
            <w:tcW w:type="dxa" w:w="2520"/>
          </w:tcPr>
          <w:p>
            <w:pPr>
              <w:spacing w:before="20" w:after="20" w:line="240" w:lineRule="auto"/>
            </w:pPr>
            <w:r/>
            <w:r>
              <w:rPr>
                <w:rFonts w:ascii="Times New Roman" w:hAnsi="Times New Roman"/>
                <w:b w:val="0"/>
                <w:sz w:val="19"/>
              </w:rPr>
              <w:t>1. The split step was not deterministic: the same seed produced different splits because cluster membership depended on set iteration order</w:t>
            </w:r>
          </w:p>
          <w:p>
            <w:pPr>
              <w:spacing w:before="20" w:after="20" w:line="240" w:lineRule="auto"/>
            </w:pPr>
            <w:r>
              <w:rPr>
                <w:rFonts w:ascii="Times New Roman" w:hAnsi="Times New Roman"/>
                <w:b w:val="0"/>
                <w:sz w:val="19"/>
              </w:rPr>
              <w:t>2. The run log marked clean checkouts as dirty, invalidating provenance records</w:t>
            </w:r>
          </w:p>
          <w:p>
            <w:pPr>
              <w:spacing w:before="20" w:after="20" w:line="240" w:lineRule="auto"/>
            </w:pPr>
            <w:r>
              <w:rPr>
                <w:rFonts w:ascii="Times New Roman" w:hAnsi="Times New Roman"/>
                <w:b w:val="0"/>
                <w:sz w:val="19"/>
              </w:rPr>
              <w:t>3. HinGE ships as a pickle, which the ingest stage does not accept and which is unsafe to load blindly</w:t>
            </w:r>
          </w:p>
        </w:tc>
        <w:tc>
          <w:tcPr>
            <w:tcW w:type="dxa" w:w="2592"/>
          </w:tcPr>
          <w:p>
            <w:pPr>
              <w:spacing w:before="20" w:after="20" w:line="240" w:lineRule="auto"/>
            </w:pPr>
            <w:r/>
            <w:r>
              <w:rPr>
                <w:rFonts w:ascii="Times New Roman" w:hAnsi="Times New Roman"/>
                <w:b w:val="0"/>
                <w:sz w:val="19"/>
              </w:rPr>
              <w:t>1. Replace the cluster walk with a deterministic union-find and sort the LSH query results; fix delivered as a pull request against the author's own branch and reviewed there</w:t>
            </w:r>
          </w:p>
          <w:p>
            <w:pPr>
              <w:spacing w:before="20" w:after="20" w:line="240" w:lineRule="auto"/>
            </w:pPr>
            <w:r>
              <w:rPr>
                <w:rFonts w:ascii="Times New Roman" w:hAnsi="Times New Roman"/>
                <w:b w:val="0"/>
                <w:sz w:val="19"/>
              </w:rPr>
              <w:t>2. Count only tracked changes toward the dirty flag</w:t>
            </w:r>
          </w:p>
          <w:p>
            <w:pPr>
              <w:spacing w:before="20" w:after="20" w:line="240" w:lineRule="auto"/>
            </w:pPr>
            <w:r>
              <w:rPr>
                <w:rFonts w:ascii="Times New Roman" w:hAnsi="Times New Roman"/>
                <w:b w:val="0"/>
                <w:sz w:val="19"/>
              </w:rPr>
              <w:t>3. Convert the pickle to CSV in a separate, inspected step before ingest</w:t>
            </w:r>
          </w:p>
        </w:tc>
      </w:tr>
      <w:tr>
        <w:tc>
          <w:tcPr>
            <w:tcW w:type="dxa" w:w="864"/>
          </w:tcPr>
          <w:p>
            <w:pPr>
              <w:spacing w:before="20" w:after="20" w:line="240" w:lineRule="auto"/>
            </w:pPr>
            <w:r/>
            <w:r>
              <w:rPr>
                <w:rFonts w:ascii="Times New Roman" w:hAnsi="Times New Roman"/>
                <w:b w:val="0"/>
                <w:sz w:val="19"/>
              </w:rPr>
              <w:t>3.4</w:t>
            </w:r>
          </w:p>
        </w:tc>
        <w:tc>
          <w:tcPr>
            <w:tcW w:type="dxa" w:w="3384"/>
          </w:tcPr>
          <w:p>
            <w:pPr>
              <w:spacing w:before="20" w:after="20" w:line="240" w:lineRule="auto"/>
            </w:pPr>
            <w:r/>
            <w:r>
              <w:rPr>
                <w:rFonts w:ascii="Times New Roman" w:hAnsi="Times New Roman"/>
                <w:b w:val="0"/>
                <w:sz w:val="19"/>
              </w:rPr>
              <w:t>• Disjoint splits of 3,738 / 468 / 468 committed with manifests</w:t>
            </w:r>
          </w:p>
        </w:tc>
        <w:tc>
          <w:tcPr>
            <w:tcW w:type="dxa" w:w="2520"/>
          </w:tcPr>
          <w:p>
            <w:pPr>
              <w:spacing w:before="20" w:after="20" w:line="240" w:lineRule="auto"/>
            </w:pPr>
            <w:r/>
            <w:r>
              <w:rPr>
                <w:rFonts w:ascii="Times New Roman" w:hAnsi="Times New Roman"/>
                <w:b w:val="0"/>
                <w:sz w:val="19"/>
              </w:rPr>
              <w:t>1. Gold evaluation set is empty: gold_set.csv holds a header row and 0 of 800 items, so the chrF++ success criterion cannot be evaluated</w:t>
            </w:r>
          </w:p>
        </w:tc>
        <w:tc>
          <w:tcPr>
            <w:tcW w:type="dxa" w:w="2592"/>
          </w:tcPr>
          <w:p>
            <w:pPr>
              <w:spacing w:before="20" w:after="20" w:line="240" w:lineRule="auto"/>
            </w:pPr>
            <w:r/>
            <w:r>
              <w:rPr>
                <w:rFonts w:ascii="Times New Roman" w:hAnsi="Times New Roman"/>
                <w:b w:val="0"/>
                <w:sz w:val="19"/>
              </w:rPr>
              <w:t>1. Author the first 200 items, validate them and measure throughput; if the rate is too low, cut the target from 800 to 500 under the recorded rule (Jenil, 298-55, 5 November)</w:t>
            </w:r>
          </w:p>
        </w:tc>
      </w:tr>
      <w:tr>
        <w:tc>
          <w:tcPr>
            <w:tcW w:type="dxa" w:w="864"/>
          </w:tcPr>
          <w:p>
            <w:pPr>
              <w:spacing w:before="20" w:after="20" w:line="240" w:lineRule="auto"/>
            </w:pPr>
            <w:r/>
            <w:r>
              <w:rPr>
                <w:rFonts w:ascii="Times New Roman" w:hAnsi="Times New Roman"/>
                <w:b w:val="0"/>
                <w:sz w:val="19"/>
              </w:rPr>
              <w:t>2.2</w:t>
            </w:r>
          </w:p>
        </w:tc>
        <w:tc>
          <w:tcPr>
            <w:tcW w:type="dxa" w:w="3384"/>
          </w:tcPr>
          <w:p>
            <w:pPr>
              <w:spacing w:before="20" w:after="20" w:line="240" w:lineRule="auto"/>
            </w:pPr>
            <w:r/>
            <w:r>
              <w:rPr>
                <w:rFonts w:ascii="Times New Roman" w:hAnsi="Times New Roman"/>
                <w:b w:val="0"/>
                <w:sz w:val="19"/>
              </w:rPr>
              <w:t>• Workbook 1 sections 1.1 to 2.4 merged, one Linear issue per section</w:t>
            </w:r>
          </w:p>
        </w:tc>
        <w:tc>
          <w:tcPr>
            <w:tcW w:type="dxa" w:w="2520"/>
          </w:tcPr>
          <w:p>
            <w:pPr>
              <w:spacing w:before="20" w:after="20" w:line="240" w:lineRule="auto"/>
            </w:pPr>
            <w:r/>
            <w:r>
              <w:rPr>
                <w:rFonts w:ascii="Times New Roman" w:hAnsi="Times New Roman"/>
                <w:b w:val="0"/>
                <w:sz w:val="19"/>
              </w:rPr>
              <w:t>1. Issues marked Done on the Linear board with no artifact on main</w:t>
            </w:r>
          </w:p>
          <w:p>
            <w:pPr>
              <w:spacing w:before="20" w:after="20" w:line="240" w:lineRule="auto"/>
            </w:pPr>
            <w:r>
              <w:rPr>
                <w:rFonts w:ascii="Times New Roman" w:hAnsi="Times New Roman"/>
                <w:b w:val="0"/>
                <w:sz w:val="19"/>
              </w:rPr>
              <w:t>2. No branch protection, and no merged pull request carries a review</w:t>
            </w:r>
          </w:p>
        </w:tc>
        <w:tc>
          <w:tcPr>
            <w:tcW w:type="dxa" w:w="2592"/>
          </w:tcPr>
          <w:p>
            <w:pPr>
              <w:spacing w:before="20" w:after="20" w:line="240" w:lineRule="auto"/>
            </w:pPr>
            <w:r/>
            <w:r>
              <w:rPr>
                <w:rFonts w:ascii="Times New Roman" w:hAnsi="Times New Roman"/>
                <w:b w:val="0"/>
                <w:sz w:val="19"/>
              </w:rPr>
              <w:t>1. Reset each issue to its true state with a comment saying what is missing (Prakhar, 298-45, 22 October)</w:t>
            </w:r>
          </w:p>
          <w:p>
            <w:pPr>
              <w:spacing w:before="20" w:after="20" w:line="240" w:lineRule="auto"/>
            </w:pPr>
            <w:r>
              <w:rPr>
                <w:rFonts w:ascii="Times New Roman" w:hAnsi="Times New Roman"/>
                <w:b w:val="0"/>
                <w:sz w:val="19"/>
              </w:rPr>
              <w:t>2. Protection requiring one non-author approval, plus a reviewer rotation (Prakhar, 298-60, 26 October)</w:t>
            </w:r>
          </w:p>
        </w:tc>
      </w:tr>
      <w:tr>
        <w:tc>
          <w:tcPr>
            <w:tcW w:type="dxa" w:w="864"/>
          </w:tcPr>
          <w:p>
            <w:pPr>
              <w:spacing w:before="20" w:after="20" w:line="240" w:lineRule="auto"/>
            </w:pPr>
            <w:r/>
            <w:r>
              <w:rPr>
                <w:rFonts w:ascii="Times New Roman" w:hAnsi="Times New Roman"/>
                <w:b w:val="0"/>
                <w:sz w:val="19"/>
              </w:rPr>
              <w:t>2.3</w:t>
            </w:r>
          </w:p>
        </w:tc>
        <w:tc>
          <w:tcPr>
            <w:tcW w:type="dxa" w:w="3384"/>
          </w:tcPr>
          <w:p>
            <w:pPr>
              <w:spacing w:before="20" w:after="20" w:line="240" w:lineRule="auto"/>
            </w:pPr>
            <w:r/>
            <w:r>
              <w:rPr>
                <w:rFonts w:ascii="Times New Roman" w:hAnsi="Times New Roman"/>
                <w:b w:val="0"/>
                <w:sz w:val="19"/>
              </w:rPr>
              <w:t>• Resource budget and a reproducible Gantt and PERT schedule merged</w:t>
            </w:r>
          </w:p>
        </w:tc>
        <w:tc>
          <w:tcPr>
            <w:tcW w:type="dxa" w:w="2520"/>
          </w:tcPr>
          <w:p>
            <w:pPr>
              <w:spacing w:before="20" w:after="20" w:line="240" w:lineRule="auto"/>
            </w:pPr>
            <w:r/>
            <w:r>
              <w:rPr>
                <w:rFonts w:ascii="Times New Roman" w:hAnsi="Times New Roman"/>
                <w:b w:val="0"/>
                <w:sz w:val="19"/>
              </w:rPr>
              <w:t>1. GPU allocation unconfirmed since the request went out on 26 September</w:t>
            </w:r>
          </w:p>
        </w:tc>
        <w:tc>
          <w:tcPr>
            <w:tcW w:type="dxa" w:w="2592"/>
          </w:tcPr>
          <w:p>
            <w:pPr>
              <w:spacing w:before="20" w:after="20" w:line="240" w:lineRule="auto"/>
            </w:pPr>
            <w:r/>
            <w:r>
              <w:rPr>
                <w:rFonts w:ascii="Times New Roman" w:hAnsi="Times New Roman"/>
                <w:b w:val="0"/>
                <w:sz w:val="19"/>
              </w:rPr>
              <w:t>1. Obtain a written answer from the cluster, or fund and test the fallback (Prakhar, 298-51, 24 October)</w:t>
            </w:r>
          </w:p>
        </w:tc>
      </w:tr>
    </w:tbl>
    <w:p>
      <w:pPr>
        <w:spacing w:after="200"/>
      </w:pPr>
    </w:p>
    <w:p>
      <w:pPr>
        <w:spacing w:after="0"/>
      </w:pPr>
      <w:r>
        <w:rPr>
          <w:rFonts w:ascii="Times New Roman" w:hAnsi="Times New Roman"/>
          <w:b/>
          <w:i w:val="0"/>
          <w:sz w:val="21"/>
        </w:rPr>
        <w:t>Time and date: 7:00 pm to 9:15 pm on 10/22/2026</w:t>
      </w:r>
    </w:p>
    <w:p>
      <w:pPr>
        <w:spacing w:after="0"/>
      </w:pPr>
      <w:r>
        <w:rPr>
          <w:rFonts w:ascii="Times New Roman" w:hAnsi="Times New Roman"/>
          <w:b w:val="0"/>
          <w:i w:val="0"/>
          <w:sz w:val="21"/>
        </w:rPr>
        <w:t>Location / media: Online / Zoom</w:t>
      </w:r>
    </w:p>
    <w:p>
      <w:pPr>
        <w:spacing w:after="80"/>
      </w:pPr>
      <w:r>
        <w:rPr>
          <w:rFonts w:ascii="Times New Roman" w:hAnsi="Times New Roman"/>
          <w:b w:val="0"/>
          <w:i w:val="0"/>
          <w:sz w:val="21"/>
        </w:rPr>
        <w:t>Participants: Savalia, Shevkar, Singh (joined briefly, unwell), Thomas Lnu, Waghmare</w:t>
      </w:r>
    </w:p>
    <w:tbl>
      <w:tblPr>
        <w:tblW w:type="auto" w:w="0"/>
        <w:jc w:val="left"/>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40"/>
        <w:gridCol w:w="2340"/>
        <w:gridCol w:w="2340"/>
        <w:gridCol w:w="2340"/>
      </w:tblGrid>
      <w:tr>
        <w:tc>
          <w:tcPr>
            <w:tcW w:type="dxa" w:w="864"/>
            <w:shd w:val="clear" w:color="auto" w:fill="EFEFEF"/>
          </w:tcPr>
          <w:p>
            <w:pPr>
              <w:spacing w:before="20" w:after="20" w:line="240" w:lineRule="auto"/>
            </w:pPr>
            <w:r/>
            <w:r>
              <w:rPr>
                <w:rFonts w:ascii="Times New Roman" w:hAnsi="Times New Roman"/>
                <w:b/>
                <w:sz w:val="19"/>
              </w:rPr>
              <w:t>Section</w:t>
            </w:r>
          </w:p>
        </w:tc>
        <w:tc>
          <w:tcPr>
            <w:tcW w:type="dxa" w:w="3384"/>
            <w:shd w:val="clear" w:color="auto" w:fill="EFEFEF"/>
          </w:tcPr>
          <w:p>
            <w:pPr>
              <w:spacing w:before="20" w:after="20" w:line="240" w:lineRule="auto"/>
            </w:pPr>
            <w:r/>
            <w:r>
              <w:rPr>
                <w:rFonts w:ascii="Times New Roman" w:hAnsi="Times New Roman"/>
                <w:b/>
                <w:sz w:val="19"/>
              </w:rPr>
              <w:t>Achievements</w:t>
            </w:r>
          </w:p>
        </w:tc>
        <w:tc>
          <w:tcPr>
            <w:tcW w:type="dxa" w:w="2520"/>
            <w:shd w:val="clear" w:color="auto" w:fill="EFEFEF"/>
          </w:tcPr>
          <w:p>
            <w:pPr>
              <w:spacing w:before="20" w:after="20" w:line="240" w:lineRule="auto"/>
            </w:pPr>
            <w:r/>
            <w:r>
              <w:rPr>
                <w:rFonts w:ascii="Times New Roman" w:hAnsi="Times New Roman"/>
                <w:b/>
                <w:sz w:val="19"/>
              </w:rPr>
              <w:t>Issues</w:t>
            </w:r>
          </w:p>
        </w:tc>
        <w:tc>
          <w:tcPr>
            <w:tcW w:type="dxa" w:w="2592"/>
            <w:shd w:val="clear" w:color="auto" w:fill="EFEFEF"/>
          </w:tcPr>
          <w:p>
            <w:pPr>
              <w:spacing w:before="20" w:after="20" w:line="240" w:lineRule="auto"/>
            </w:pPr>
            <w:r/>
            <w:r>
              <w:rPr>
                <w:rFonts w:ascii="Times New Roman" w:hAnsi="Times New Roman"/>
                <w:b/>
                <w:sz w:val="19"/>
              </w:rPr>
              <w:t>Recommended Solutions</w:t>
            </w:r>
          </w:p>
        </w:tc>
      </w:tr>
      <w:tr>
        <w:tc>
          <w:tcPr>
            <w:tcW w:type="dxa" w:w="864"/>
          </w:tcPr>
          <w:p>
            <w:pPr>
              <w:spacing w:before="20" w:after="20" w:line="240" w:lineRule="auto"/>
            </w:pPr>
            <w:r/>
            <w:r>
              <w:rPr>
                <w:rFonts w:ascii="Times New Roman" w:hAnsi="Times New Roman"/>
                <w:b w:val="0"/>
                <w:sz w:val="19"/>
              </w:rPr>
              <w:t>4.5</w:t>
            </w:r>
          </w:p>
        </w:tc>
        <w:tc>
          <w:tcPr>
            <w:tcW w:type="dxa" w:w="3384"/>
          </w:tcPr>
          <w:p>
            <w:pPr>
              <w:spacing w:before="20" w:after="20" w:line="240" w:lineRule="auto"/>
            </w:pPr>
            <w:r/>
            <w:r>
              <w:rPr>
                <w:rFonts w:ascii="Times New Roman" w:hAnsi="Times New Roman"/>
                <w:b w:val="0"/>
                <w:sz w:val="19"/>
              </w:rPr>
              <w:t>• Resolved from Team Meeting 1: both model arms were executed on a Tesla T4, proving the CUDA path including the 4-bit NF4 quantised branch that cannot be tested on the team's Apple Silicon machines</w:t>
            </w:r>
          </w:p>
          <w:p>
            <w:pPr>
              <w:spacing w:before="20" w:after="20" w:line="240" w:lineRule="auto"/>
            </w:pPr>
            <w:r>
              <w:rPr>
                <w:rFonts w:ascii="Times New Roman" w:hAnsi="Times New Roman"/>
                <w:b w:val="0"/>
                <w:sz w:val="19"/>
              </w:rPr>
              <w:t>• QLoRA trainer merged with loss masked to completion tokens and eleven CPU-side tests, plus an --adapter flag so the fine-tuned arm is scored through the same script as the baseline</w:t>
            </w:r>
          </w:p>
          <w:p>
            <w:pPr>
              <w:spacing w:before="20" w:after="20" w:line="240" w:lineRule="auto"/>
            </w:pPr>
            <w:r>
              <w:rPr>
                <w:rFonts w:ascii="Times New Roman" w:hAnsi="Times New Roman"/>
                <w:b w:val="0"/>
                <w:sz w:val="19"/>
              </w:rPr>
              <w:t>• Opened docs/COMPUTE_BUDGET.md with the first seven run records: 0.112 GPU-hours spent against a budget of 80 to 145</w:t>
            </w:r>
          </w:p>
        </w:tc>
        <w:tc>
          <w:tcPr>
            <w:tcW w:type="dxa" w:w="2520"/>
          </w:tcPr>
          <w:p>
            <w:pPr>
              <w:spacing w:before="20" w:after="20" w:line="240" w:lineRule="auto"/>
            </w:pPr>
            <w:r/>
            <w:r>
              <w:rPr>
                <w:rFonts w:ascii="Times New Roman" w:hAnsi="Times New Roman"/>
                <w:b w:val="0"/>
                <w:sz w:val="19"/>
              </w:rPr>
              <w:t>1. The trainer requested bf16 unconditionally, but a T4 is Turing and has no bf16 silicon; the support check counts emulation, so thirty steps of a 0.5B model took 301 seconds through a software path</w:t>
            </w:r>
          </w:p>
          <w:p>
            <w:pPr>
              <w:spacing w:before="20" w:after="20" w:line="240" w:lineRule="auto"/>
            </w:pPr>
            <w:r>
              <w:rPr>
                <w:rFonts w:ascii="Times New Roman" w:hAnsi="Times New Roman"/>
                <w:b w:val="0"/>
                <w:sz w:val="19"/>
              </w:rPr>
              <w:t>2. The pinned requirement resolved to transformers 5.x in Colab and broke the training arguments</w:t>
            </w:r>
          </w:p>
          <w:p>
            <w:pPr>
              <w:spacing w:before="20" w:after="20" w:line="240" w:lineRule="auto"/>
            </w:pPr>
            <w:r>
              <w:rPr>
                <w:rFonts w:ascii="Times New Roman" w:hAnsi="Times New Roman"/>
                <w:b w:val="0"/>
                <w:sz w:val="19"/>
              </w:rPr>
              <w:t>3. Gradient checkpointing severed the gradient graph on the non-quantised path</w:t>
            </w:r>
          </w:p>
          <w:p>
            <w:pPr>
              <w:spacing w:before="20" w:after="20" w:line="240" w:lineRule="auto"/>
            </w:pPr>
            <w:r>
              <w:rPr>
                <w:rFonts w:ascii="Times New Roman" w:hAnsi="Times New Roman"/>
                <w:b w:val="0"/>
                <w:sz w:val="19"/>
              </w:rPr>
              <w:t>4. A long run lost all output when the Colab session dropped</w:t>
            </w:r>
          </w:p>
        </w:tc>
        <w:tc>
          <w:tcPr>
            <w:tcW w:type="dxa" w:w="2592"/>
          </w:tcPr>
          <w:p>
            <w:pPr>
              <w:spacing w:before="20" w:after="20" w:line="240" w:lineRule="auto"/>
            </w:pPr>
            <w:r/>
            <w:r>
              <w:rPr>
                <w:rFonts w:ascii="Times New Roman" w:hAnsi="Times New Roman"/>
                <w:b w:val="0"/>
                <w:sz w:val="19"/>
              </w:rPr>
              <w:t>1. Ask for native bf16 only and fall back to fp16 on pre-Ampere cards; record the precision in every run record so a regression is visible</w:t>
            </w:r>
          </w:p>
          <w:p>
            <w:pPr>
              <w:spacing w:before="20" w:after="20" w:line="240" w:lineRule="auto"/>
            </w:pPr>
            <w:r>
              <w:rPr>
                <w:rFonts w:ascii="Times New Roman" w:hAnsi="Times New Roman"/>
                <w:b w:val="0"/>
                <w:sz w:val="19"/>
              </w:rPr>
              <w:t>2. Pin transformers to 4.57.6 in the notebook and assert the major version before training</w:t>
            </w:r>
          </w:p>
          <w:p>
            <w:pPr>
              <w:spacing w:before="20" w:after="20" w:line="240" w:lineRule="auto"/>
            </w:pPr>
            <w:r>
              <w:rPr>
                <w:rFonts w:ascii="Times New Roman" w:hAnsi="Times New Roman"/>
                <w:b w:val="0"/>
                <w:sz w:val="19"/>
              </w:rPr>
              <w:t>3. Enable input gradients explicitly on that path</w:t>
            </w:r>
          </w:p>
          <w:p>
            <w:pPr>
              <w:spacing w:before="20" w:after="20" w:line="240" w:lineRule="auto"/>
            </w:pPr>
            <w:r>
              <w:rPr>
                <w:rFonts w:ascii="Times New Roman" w:hAnsi="Times New Roman"/>
                <w:b w:val="0"/>
                <w:sz w:val="19"/>
              </w:rPr>
              <w:t>4. Write checkpoints to a persistent directory and make the notebook resumable</w:t>
            </w:r>
          </w:p>
        </w:tc>
      </w:tr>
      <w:tr>
        <w:tc>
          <w:tcPr>
            <w:tcW w:type="dxa" w:w="864"/>
          </w:tcPr>
          <w:p>
            <w:pPr>
              <w:spacing w:before="20" w:after="20" w:line="240" w:lineRule="auto"/>
            </w:pPr>
            <w:r/>
            <w:r>
              <w:rPr>
                <w:rFonts w:ascii="Times New Roman" w:hAnsi="Times New Roman"/>
                <w:b w:val="0"/>
                <w:sz w:val="19"/>
              </w:rPr>
              <w:t>2.2</w:t>
            </w:r>
          </w:p>
        </w:tc>
        <w:tc>
          <w:tcPr>
            <w:tcW w:type="dxa" w:w="3384"/>
          </w:tcPr>
          <w:p>
            <w:pPr>
              <w:spacing w:before="20" w:after="20" w:line="240" w:lineRule="auto"/>
            </w:pPr>
            <w:r/>
            <w:r>
              <w:rPr>
                <w:rFonts w:ascii="Times New Roman" w:hAnsi="Times New Roman"/>
                <w:b w:val="0"/>
                <w:sz w:val="19"/>
              </w:rPr>
              <w:t>• Re-derived every Part A percentage against the main branch rather than against the board, and committed the result</w:t>
            </w:r>
          </w:p>
          <w:p>
            <w:pPr>
              <w:spacing w:before="20" w:after="20" w:line="240" w:lineRule="auto"/>
            </w:pPr>
            <w:r>
              <w:rPr>
                <w:rFonts w:ascii="Times New Roman" w:hAnsi="Times New Roman"/>
                <w:b w:val="0"/>
                <w:sz w:val="19"/>
              </w:rPr>
              <w:t>• Audited the board: eight issues were Done with no artifact a reader can open, and all eight were reset with a comment naming what is missing</w:t>
            </w:r>
          </w:p>
        </w:tc>
        <w:tc>
          <w:tcPr>
            <w:tcW w:type="dxa" w:w="2520"/>
          </w:tcPr>
          <w:p>
            <w:pPr>
              <w:spacing w:before="20" w:after="20" w:line="240" w:lineRule="auto"/>
            </w:pPr>
            <w:r/>
            <w:r>
              <w:rPr>
                <w:rFonts w:ascii="Times New Roman" w:hAnsi="Times New Roman"/>
                <w:b w:val="0"/>
                <w:sz w:val="19"/>
              </w:rPr>
              <w:t>1. Part A and Part C would have contradicted each other and the board</w:t>
            </w:r>
          </w:p>
          <w:p>
            <w:pPr>
              <w:spacing w:before="20" w:after="20" w:line="240" w:lineRule="auto"/>
            </w:pPr>
            <w:r>
              <w:rPr>
                <w:rFonts w:ascii="Times New Roman" w:hAnsi="Times New Roman"/>
                <w:b w:val="0"/>
                <w:sz w:val="19"/>
              </w:rPr>
              <w:t>2. The Linear assignee and the pull-request author disagree on two issues, so the board under-reports one member and over-reports another</w:t>
            </w:r>
          </w:p>
          <w:p>
            <w:pPr>
              <w:spacing w:before="20" w:after="20" w:line="240" w:lineRule="auto"/>
            </w:pPr>
            <w:r>
              <w:rPr>
                <w:rFonts w:ascii="Times New Roman" w:hAnsi="Times New Roman"/>
                <w:b w:val="0"/>
                <w:sz w:val="19"/>
              </w:rPr>
              <w:t>3. Prakhar was unwell and could not complete his two issues due today</w:t>
            </w:r>
          </w:p>
        </w:tc>
        <w:tc>
          <w:tcPr>
            <w:tcW w:type="dxa" w:w="2592"/>
          </w:tcPr>
          <w:p>
            <w:pPr>
              <w:spacing w:before="20" w:after="20" w:line="240" w:lineRule="auto"/>
            </w:pPr>
            <w:r/>
            <w:r>
              <w:rPr>
                <w:rFonts w:ascii="Times New Roman" w:hAnsi="Times New Roman"/>
                <w:b w:val="0"/>
                <w:sz w:val="19"/>
              </w:rPr>
              <w:t>1. Treat an issue as incomplete unless a reader can open its artifact; the reset moved 33 story points of real unfinished work back into the cycle</w:t>
            </w:r>
          </w:p>
          <w:p>
            <w:pPr>
              <w:spacing w:before="20" w:after="20" w:line="240" w:lineRule="auto"/>
            </w:pPr>
            <w:r>
              <w:rPr>
                <w:rFonts w:ascii="Times New Roman" w:hAnsi="Times New Roman"/>
                <w:b w:val="0"/>
                <w:sz w:val="19"/>
              </w:rPr>
              <w:t>2. Report both the board assignee and the pull-request author in Part C, and say which is which</w:t>
            </w:r>
          </w:p>
          <w:p>
            <w:pPr>
              <w:spacing w:before="20" w:after="20" w:line="240" w:lineRule="auto"/>
            </w:pPr>
            <w:r>
              <w:rPr>
                <w:rFonts w:ascii="Times New Roman" w:hAnsi="Times New Roman"/>
                <w:b w:val="0"/>
                <w:sz w:val="19"/>
              </w:rPr>
              <w:t>3. Waghmare completes 298-45 and 298-48 on Singh's behalf, recorded as such in Part C rather than left to look like Singh's output</w:t>
            </w:r>
          </w:p>
        </w:tc>
      </w:tr>
      <w:tr>
        <w:tc>
          <w:tcPr>
            <w:tcW w:type="dxa" w:w="864"/>
          </w:tcPr>
          <w:p>
            <w:pPr>
              <w:spacing w:before="20" w:after="20" w:line="240" w:lineRule="auto"/>
            </w:pPr>
            <w:r/>
            <w:r>
              <w:rPr>
                <w:rFonts w:ascii="Times New Roman" w:hAnsi="Times New Roman"/>
                <w:b w:val="0"/>
                <w:sz w:val="19"/>
              </w:rPr>
              <w:t>2.4</w:t>
            </w:r>
          </w:p>
        </w:tc>
        <w:tc>
          <w:tcPr>
            <w:tcW w:type="dxa" w:w="3384"/>
          </w:tcPr>
          <w:p>
            <w:pPr>
              <w:spacing w:before="20" w:after="20" w:line="240" w:lineRule="auto"/>
            </w:pPr>
            <w:r/>
            <w:r>
              <w:rPr>
                <w:rFonts w:ascii="Times New Roman" w:hAnsi="Times New Roman"/>
                <w:b w:val="0"/>
                <w:sz w:val="19"/>
              </w:rPr>
              <w:t>• Reviewed the critical path to Team Meeting 2 on 12 November</w:t>
            </w:r>
          </w:p>
        </w:tc>
        <w:tc>
          <w:tcPr>
            <w:tcW w:type="dxa" w:w="2520"/>
          </w:tcPr>
          <w:p>
            <w:pPr>
              <w:spacing w:before="20" w:after="20" w:line="240" w:lineRule="auto"/>
            </w:pPr>
            <w:r/>
            <w:r>
              <w:rPr>
                <w:rFonts w:ascii="Times New Roman" w:hAnsi="Times New Roman"/>
                <w:b w:val="0"/>
                <w:sz w:val="19"/>
              </w:rPr>
              <w:t>1. No commit reached main between 8 and 21 October; all merges this period fell on two days</w:t>
            </w:r>
          </w:p>
          <w:p>
            <w:pPr>
              <w:spacing w:before="20" w:after="20" w:line="240" w:lineRule="auto"/>
            </w:pPr>
            <w:r>
              <w:rPr>
                <w:rFonts w:ascii="Times New Roman" w:hAnsi="Times New Roman"/>
                <w:b w:val="0"/>
                <w:sz w:val="19"/>
              </w:rPr>
              <w:t>2. Team Meeting 2 requires a cloud pipeline, a live prototype, the baseline reproduced and a first model trained; none of the four exists today</w:t>
            </w:r>
          </w:p>
          <w:p>
            <w:pPr>
              <w:spacing w:before="20" w:after="20" w:line="240" w:lineRule="auto"/>
            </w:pPr>
            <w:r>
              <w:rPr>
                <w:rFonts w:ascii="Times New Roman" w:hAnsi="Times New Roman"/>
                <w:b w:val="0"/>
                <w:sz w:val="19"/>
              </w:rPr>
              <w:t>3. Only three days separate the last planned delivery from the checkpoint</w:t>
            </w:r>
          </w:p>
        </w:tc>
        <w:tc>
          <w:tcPr>
            <w:tcW w:type="dxa" w:w="2592"/>
          </w:tcPr>
          <w:p>
            <w:pPr>
              <w:spacing w:before="20" w:after="20" w:line="240" w:lineRule="auto"/>
            </w:pPr>
            <w:r/>
            <w:r>
              <w:rPr>
                <w:rFonts w:ascii="Times New Roman" w:hAnsi="Times New Roman"/>
                <w:b w:val="0"/>
                <w:sz w:val="19"/>
              </w:rPr>
              <w:t>1. Every member pushes at least one commit against a Cycle 4 issue by 26 October, then at least twice a week, with the commit log reviewed at each weekly meeting</w:t>
            </w:r>
          </w:p>
          <w:p>
            <w:pPr>
              <w:spacing w:before="20" w:after="20" w:line="240" w:lineRule="auto"/>
            </w:pPr>
            <w:r>
              <w:rPr>
                <w:rFonts w:ascii="Times New Roman" w:hAnsi="Times New Roman"/>
                <w:b w:val="0"/>
                <w:sz w:val="19"/>
              </w:rPr>
              <w:t>2. Rank every Cycle 4 issue by how directly it stands between the team and those four items, and schedule in that order</w:t>
            </w:r>
          </w:p>
          <w:p>
            <w:pPr>
              <w:spacing w:before="20" w:after="20" w:line="240" w:lineRule="auto"/>
            </w:pPr>
            <w:r>
              <w:rPr>
                <w:rFonts w:ascii="Times New Roman" w:hAnsi="Times New Roman"/>
                <w:b w:val="0"/>
                <w:sz w:val="19"/>
              </w:rPr>
              <w:t>3. Treat any slip of more than three days on a critical-path issue as a trigger to report the limitation at the checkpoint rather than discover it there</w:t>
            </w:r>
          </w:p>
        </w:tc>
      </w:tr>
      <w:tr>
        <w:tc>
          <w:tcPr>
            <w:tcW w:type="dxa" w:w="864"/>
          </w:tcPr>
          <w:p>
            <w:pPr>
              <w:spacing w:before="20" w:after="20" w:line="240" w:lineRule="auto"/>
            </w:pPr>
            <w:r/>
            <w:r>
              <w:rPr>
                <w:rFonts w:ascii="Times New Roman" w:hAnsi="Times New Roman"/>
                <w:b w:val="0"/>
                <w:sz w:val="19"/>
              </w:rPr>
              <w:t>References</w:t>
            </w:r>
          </w:p>
        </w:tc>
        <w:tc>
          <w:tcPr>
            <w:tcW w:type="dxa" w:w="3384"/>
          </w:tcPr>
          <w:p>
            <w:pPr>
              <w:spacing w:before="20" w:after="20" w:line="240" w:lineRule="auto"/>
            </w:pPr>
            <w:r/>
            <w:r>
              <w:rPr>
                <w:rFonts w:ascii="Times New Roman" w:hAnsi="Times New Roman"/>
                <w:b w:val="0"/>
                <w:sz w:val="19"/>
              </w:rPr>
              <w:t>• Workbook 1 references, submission checklist and self-assessment merged</w:t>
            </w:r>
          </w:p>
        </w:tc>
        <w:tc>
          <w:tcPr>
            <w:tcW w:type="dxa" w:w="2520"/>
          </w:tcPr>
          <w:p>
            <w:pPr>
              <w:spacing w:before="20" w:after="20" w:line="240" w:lineRule="auto"/>
            </w:pPr>
            <w:r/>
            <w:r>
              <w:rPr>
                <w:rFonts w:ascii="Times New Roman" w:hAnsi="Times New Roman"/>
                <w:b w:val="0"/>
                <w:sz w:val="19"/>
              </w:rPr>
              <w:t>1. The harness normalisation covers 3 of the 72 groups in the committed spelling-variant lexicon, and two of its rules corrupt forms rather than normalising them</w:t>
            </w:r>
          </w:p>
          <w:p>
            <w:pPr>
              <w:spacing w:before="20" w:after="20" w:line="240" w:lineRule="auto"/>
            </w:pPr>
            <w:r>
              <w:rPr>
                <w:rFonts w:ascii="Times New Roman" w:hAnsi="Times New Roman"/>
                <w:b w:val="0"/>
                <w:sz w:val="19"/>
              </w:rPr>
              <w:t>2. No bootstrap resampling exists, although the requirements commit to it</w:t>
            </w:r>
          </w:p>
        </w:tc>
        <w:tc>
          <w:tcPr>
            <w:tcW w:type="dxa" w:w="2592"/>
          </w:tcPr>
          <w:p>
            <w:pPr>
              <w:spacing w:before="20" w:after="20" w:line="240" w:lineRule="auto"/>
            </w:pPr>
            <w:r/>
            <w:r>
              <w:rPr>
                <w:rFonts w:ascii="Times New Roman" w:hAnsi="Times New Roman"/>
                <w:b w:val="0"/>
                <w:sz w:val="19"/>
              </w:rPr>
              <w:t>1. Drive normalisation from the lexicon and add 1,000-sample bootstrap confidence intervals, with a test that fails against the regex version (Thomas Lnu, 298-59, 2 November)</w:t>
            </w:r>
          </w:p>
        </w:tc>
      </w:tr>
    </w:tbl>
    <w:p>
      <w:pPr>
        <w:spacing w:after="200"/>
      </w:pPr>
    </w:p>
    <w:p>
      <w:r>
        <w:br w:type="page"/>
      </w:r>
    </w:p>
    <w:p>
      <w:pPr>
        <w:spacing w:before="360" w:after="160"/>
      </w:pPr>
      <w:r>
        <w:rPr>
          <w:rFonts w:ascii="Times New Roman" w:hAnsi="Times New Roman"/>
          <w:b/>
          <w:i w:val="0"/>
          <w:sz w:val="28"/>
        </w:rPr>
        <w:t>Part C  ·  Work completed this period</w:t>
      </w:r>
    </w:p>
    <w:p>
      <w:r>
        <w:rPr>
          <w:rFonts w:ascii="Times New Roman" w:hAnsi="Times New Roman"/>
          <w:b w:val="0"/>
          <w:i w:val="0"/>
        </w:rPr>
        <w:t>Reconciled against the Linear board on 22 October 2026.</w:t>
      </w:r>
    </w:p>
    <w:tbl>
      <w:tblPr>
        <w:tblW w:type="auto" w:w="0"/>
        <w:jc w:val="left"/>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40"/>
        <w:gridCol w:w="2340"/>
        <w:gridCol w:w="2340"/>
        <w:gridCol w:w="2340"/>
      </w:tblGrid>
      <w:tr>
        <w:tc>
          <w:tcPr>
            <w:tcW w:type="dxa" w:w="1944"/>
            <w:shd w:val="clear" w:color="auto" w:fill="EFEFEF"/>
          </w:tcPr>
          <w:p>
            <w:pPr>
              <w:spacing w:before="20" w:after="20" w:line="240" w:lineRule="auto"/>
            </w:pPr>
            <w:r/>
            <w:r>
              <w:rPr>
                <w:rFonts w:ascii="Times New Roman" w:hAnsi="Times New Roman"/>
                <w:b/>
                <w:sz w:val="19"/>
              </w:rPr>
              <w:t>Member</w:t>
            </w:r>
          </w:p>
        </w:tc>
        <w:tc>
          <w:tcPr>
            <w:tcW w:type="dxa" w:w="1152"/>
            <w:shd w:val="clear" w:color="auto" w:fill="EFEFEF"/>
          </w:tcPr>
          <w:p>
            <w:pPr>
              <w:spacing w:before="20" w:after="20" w:line="240" w:lineRule="auto"/>
            </w:pPr>
            <w:r/>
            <w:r>
              <w:rPr>
                <w:rFonts w:ascii="Times New Roman" w:hAnsi="Times New Roman"/>
                <w:b/>
                <w:sz w:val="19"/>
              </w:rPr>
              <w:t>Issues closed</w:t>
            </w:r>
          </w:p>
        </w:tc>
        <w:tc>
          <w:tcPr>
            <w:tcW w:type="dxa" w:w="1656"/>
            <w:shd w:val="clear" w:color="auto" w:fill="EFEFEF"/>
          </w:tcPr>
          <w:p>
            <w:pPr>
              <w:spacing w:before="20" w:after="20" w:line="240" w:lineRule="auto"/>
            </w:pPr>
            <w:r/>
            <w:r>
              <w:rPr>
                <w:rFonts w:ascii="Times New Roman" w:hAnsi="Times New Roman"/>
                <w:b/>
                <w:sz w:val="19"/>
              </w:rPr>
              <w:t>Labels worked</w:t>
            </w:r>
          </w:p>
        </w:tc>
        <w:tc>
          <w:tcPr>
            <w:tcW w:type="dxa" w:w="4608"/>
            <w:shd w:val="clear" w:color="auto" w:fill="EFEFEF"/>
          </w:tcPr>
          <w:p>
            <w:pPr>
              <w:spacing w:before="20" w:after="20" w:line="240" w:lineRule="auto"/>
            </w:pPr>
            <w:r/>
            <w:r>
              <w:rPr>
                <w:rFonts w:ascii="Times New Roman" w:hAnsi="Times New Roman"/>
                <w:b/>
                <w:sz w:val="19"/>
              </w:rPr>
              <w:t>Key artifact link</w:t>
            </w:r>
          </w:p>
        </w:tc>
      </w:tr>
      <w:tr>
        <w:tc>
          <w:tcPr>
            <w:tcW w:type="dxa" w:w="1944"/>
          </w:tcPr>
          <w:p>
            <w:pPr>
              <w:spacing w:before="20" w:after="20" w:line="240" w:lineRule="auto"/>
            </w:pPr>
            <w:r/>
            <w:r>
              <w:rPr>
                <w:rFonts w:ascii="Times New Roman" w:hAnsi="Times New Roman"/>
                <w:b w:val="0"/>
                <w:sz w:val="19"/>
              </w:rPr>
              <w:t>Waghmare, Sarvesh</w:t>
            </w:r>
          </w:p>
        </w:tc>
        <w:tc>
          <w:tcPr>
            <w:tcW w:type="dxa" w:w="1152"/>
          </w:tcPr>
          <w:p>
            <w:pPr>
              <w:spacing w:before="20" w:after="20" w:line="240" w:lineRule="auto"/>
              <w:jc w:val="center"/>
            </w:pPr>
            <w:r/>
            <w:r>
              <w:rPr>
                <w:rFonts w:ascii="Times New Roman" w:hAnsi="Times New Roman"/>
                <w:b w:val="0"/>
                <w:sz w:val="19"/>
              </w:rPr>
              <w:t>5</w:t>
            </w:r>
          </w:p>
        </w:tc>
        <w:tc>
          <w:tcPr>
            <w:tcW w:type="dxa" w:w="1656"/>
          </w:tcPr>
          <w:p>
            <w:pPr>
              <w:spacing w:before="20" w:after="20" w:line="240" w:lineRule="auto"/>
            </w:pPr>
            <w:r/>
            <w:r>
              <w:rPr>
                <w:rFonts w:ascii="Times New Roman" w:hAnsi="Times New Roman"/>
                <w:b w:val="0"/>
                <w:sz w:val="19"/>
              </w:rPr>
              <w:t>eval, writing</w:t>
            </w:r>
          </w:p>
        </w:tc>
        <w:tc>
          <w:tcPr>
            <w:tcW w:type="dxa" w:w="4608"/>
          </w:tcPr>
          <w:p>
            <w:pPr>
              <w:spacing w:before="20" w:after="20" w:line="240" w:lineRule="auto"/>
            </w:pPr>
            <w:r/>
            <w:r>
              <w:rPr>
                <w:rFonts w:ascii="Times New Roman" w:hAnsi="Times New Roman"/>
                <w:b w:val="0"/>
                <w:sz w:val="19"/>
              </w:rPr>
              <w:t>298-30, 298-31, 298-36, 298-39, 298-46 — QLoRA trainer, Colab notebook and the first GPU run records: https://github.com/298A-Team-2-Topic-23/Low-Resource-and-Code-Switched-Language-Systems/pull/25</w:t>
            </w:r>
          </w:p>
        </w:tc>
      </w:tr>
      <w:tr>
        <w:tc>
          <w:tcPr>
            <w:tcW w:type="dxa" w:w="1944"/>
          </w:tcPr>
          <w:p>
            <w:pPr>
              <w:spacing w:before="20" w:after="20" w:line="240" w:lineRule="auto"/>
            </w:pPr>
            <w:r/>
            <w:r>
              <w:rPr>
                <w:rFonts w:ascii="Times New Roman" w:hAnsi="Times New Roman"/>
                <w:b w:val="0"/>
                <w:sz w:val="19"/>
              </w:rPr>
              <w:t>Singh, Prakhar Kumar</w:t>
            </w:r>
          </w:p>
        </w:tc>
        <w:tc>
          <w:tcPr>
            <w:tcW w:type="dxa" w:w="1152"/>
          </w:tcPr>
          <w:p>
            <w:pPr>
              <w:spacing w:before="20" w:after="20" w:line="240" w:lineRule="auto"/>
              <w:jc w:val="center"/>
            </w:pPr>
            <w:r/>
            <w:r>
              <w:rPr>
                <w:rFonts w:ascii="Times New Roman" w:hAnsi="Times New Roman"/>
                <w:b w:val="0"/>
                <w:sz w:val="19"/>
              </w:rPr>
              <w:t>4</w:t>
            </w:r>
          </w:p>
        </w:tc>
        <w:tc>
          <w:tcPr>
            <w:tcW w:type="dxa" w:w="1656"/>
          </w:tcPr>
          <w:p>
            <w:pPr>
              <w:spacing w:before="20" w:after="20" w:line="240" w:lineRule="auto"/>
            </w:pPr>
            <w:r/>
            <w:r>
              <w:rPr>
                <w:rFonts w:ascii="Times New Roman" w:hAnsi="Times New Roman"/>
                <w:b w:val="0"/>
                <w:sz w:val="19"/>
              </w:rPr>
              <w:t>infra, writing</w:t>
            </w:r>
          </w:p>
        </w:tc>
        <w:tc>
          <w:tcPr>
            <w:tcW w:type="dxa" w:w="4608"/>
          </w:tcPr>
          <w:p>
            <w:pPr>
              <w:spacing w:before="20" w:after="20" w:line="240" w:lineRule="auto"/>
            </w:pPr>
            <w:r/>
            <w:r>
              <w:rPr>
                <w:rFonts w:ascii="Times New Roman" w:hAnsi="Times New Roman"/>
                <w:b w:val="0"/>
                <w:sz w:val="19"/>
              </w:rPr>
              <w:t>298-37, 298-40, 298-45, 298-48 — demo runbook and two fresh-clone preflight records: https://github.com/298A-Team-2-Topic-23/Low-Resource-and-Code-Switched-Language-Systems/pull/20</w:t>
            </w:r>
          </w:p>
        </w:tc>
      </w:tr>
      <w:tr>
        <w:tc>
          <w:tcPr>
            <w:tcW w:type="dxa" w:w="1944"/>
          </w:tcPr>
          <w:p>
            <w:pPr>
              <w:spacing w:before="20" w:after="20" w:line="240" w:lineRule="auto"/>
            </w:pPr>
            <w:r/>
            <w:r>
              <w:rPr>
                <w:rFonts w:ascii="Times New Roman" w:hAnsi="Times New Roman"/>
                <w:b w:val="0"/>
                <w:sz w:val="19"/>
              </w:rPr>
              <w:t>Savalia, Jenil Sanjaybhai</w:t>
            </w:r>
          </w:p>
        </w:tc>
        <w:tc>
          <w:tcPr>
            <w:tcW w:type="dxa" w:w="1152"/>
          </w:tcPr>
          <w:p>
            <w:pPr>
              <w:spacing w:before="20" w:after="20" w:line="240" w:lineRule="auto"/>
              <w:jc w:val="center"/>
            </w:pPr>
            <w:r/>
            <w:r>
              <w:rPr>
                <w:rFonts w:ascii="Times New Roman" w:hAnsi="Times New Roman"/>
                <w:b w:val="0"/>
                <w:sz w:val="19"/>
              </w:rPr>
              <w:t>4</w:t>
            </w:r>
          </w:p>
        </w:tc>
        <w:tc>
          <w:tcPr>
            <w:tcW w:type="dxa" w:w="1656"/>
          </w:tcPr>
          <w:p>
            <w:pPr>
              <w:spacing w:before="20" w:after="20" w:line="240" w:lineRule="auto"/>
            </w:pPr>
            <w:r/>
            <w:r>
              <w:rPr>
                <w:rFonts w:ascii="Times New Roman" w:hAnsi="Times New Roman"/>
                <w:b w:val="0"/>
                <w:sz w:val="19"/>
              </w:rPr>
              <w:t>writing</w:t>
            </w:r>
          </w:p>
        </w:tc>
        <w:tc>
          <w:tcPr>
            <w:tcW w:type="dxa" w:w="4608"/>
          </w:tcPr>
          <w:p>
            <w:pPr>
              <w:spacing w:before="20" w:after="20" w:line="240" w:lineRule="auto"/>
            </w:pPr>
            <w:r/>
            <w:r>
              <w:rPr>
                <w:rFonts w:ascii="Times New Roman" w:hAnsi="Times New Roman"/>
                <w:b w:val="0"/>
                <w:sz w:val="19"/>
              </w:rPr>
              <w:t>298-32, 298-42, 298-43, 298-47 — minutes for both meetings in this window: https://github.com/298A-Team-2-Topic-23/Low-Resource-and-Code-Switched-Language-Systems/pull/29</w:t>
            </w:r>
          </w:p>
        </w:tc>
      </w:tr>
      <w:tr>
        <w:tc>
          <w:tcPr>
            <w:tcW w:type="dxa" w:w="1944"/>
          </w:tcPr>
          <w:p>
            <w:pPr>
              <w:spacing w:before="20" w:after="20" w:line="240" w:lineRule="auto"/>
            </w:pPr>
            <w:r/>
            <w:r>
              <w:rPr>
                <w:rFonts w:ascii="Times New Roman" w:hAnsi="Times New Roman"/>
                <w:b w:val="0"/>
                <w:sz w:val="19"/>
              </w:rPr>
              <w:t>Thomas Lnu, Shibin Biji</w:t>
            </w:r>
          </w:p>
        </w:tc>
        <w:tc>
          <w:tcPr>
            <w:tcW w:type="dxa" w:w="1152"/>
          </w:tcPr>
          <w:p>
            <w:pPr>
              <w:spacing w:before="20" w:after="20" w:line="240" w:lineRule="auto"/>
              <w:jc w:val="center"/>
            </w:pPr>
            <w:r/>
            <w:r>
              <w:rPr>
                <w:rFonts w:ascii="Times New Roman" w:hAnsi="Times New Roman"/>
                <w:b w:val="0"/>
                <w:sz w:val="19"/>
              </w:rPr>
              <w:t>4</w:t>
            </w:r>
          </w:p>
        </w:tc>
        <w:tc>
          <w:tcPr>
            <w:tcW w:type="dxa" w:w="1656"/>
          </w:tcPr>
          <w:p>
            <w:pPr>
              <w:spacing w:before="20" w:after="20" w:line="240" w:lineRule="auto"/>
            </w:pPr>
            <w:r/>
            <w:r>
              <w:rPr>
                <w:rFonts w:ascii="Times New Roman" w:hAnsi="Times New Roman"/>
                <w:b w:val="0"/>
                <w:sz w:val="19"/>
              </w:rPr>
              <w:t>data, writing</w:t>
            </w:r>
          </w:p>
        </w:tc>
        <w:tc>
          <w:tcPr>
            <w:tcW w:type="dxa" w:w="4608"/>
          </w:tcPr>
          <w:p>
            <w:pPr>
              <w:spacing w:before="20" w:after="20" w:line="240" w:lineRule="auto"/>
            </w:pPr>
            <w:r/>
            <w:r>
              <w:rPr>
                <w:rFonts w:ascii="Times New Roman" w:hAnsi="Times New Roman"/>
                <w:b w:val="0"/>
                <w:sz w:val="19"/>
              </w:rPr>
              <w:t>298-33, 298-41, 298-44, 298-49 — pipeline run on the real HinGE corpus and the demo notebook: https://github.com/298A-Team-2-Topic-23/Low-Resource-and-Code-Switched-Language-Systems/pull/21</w:t>
            </w:r>
          </w:p>
        </w:tc>
      </w:tr>
      <w:tr>
        <w:tc>
          <w:tcPr>
            <w:tcW w:type="dxa" w:w="1944"/>
          </w:tcPr>
          <w:p>
            <w:pPr>
              <w:spacing w:before="20" w:after="20" w:line="240" w:lineRule="auto"/>
            </w:pPr>
            <w:r/>
            <w:r>
              <w:rPr>
                <w:rFonts w:ascii="Times New Roman" w:hAnsi="Times New Roman"/>
                <w:b w:val="0"/>
                <w:sz w:val="19"/>
              </w:rPr>
              <w:t>Shevkar, Yash</w:t>
            </w:r>
          </w:p>
        </w:tc>
        <w:tc>
          <w:tcPr>
            <w:tcW w:type="dxa" w:w="1152"/>
          </w:tcPr>
          <w:p>
            <w:pPr>
              <w:spacing w:before="20" w:after="20" w:line="240" w:lineRule="auto"/>
              <w:jc w:val="center"/>
            </w:pPr>
            <w:r/>
            <w:r>
              <w:rPr>
                <w:rFonts w:ascii="Times New Roman" w:hAnsi="Times New Roman"/>
                <w:b w:val="0"/>
                <w:sz w:val="19"/>
              </w:rPr>
              <w:t>3</w:t>
            </w:r>
          </w:p>
        </w:tc>
        <w:tc>
          <w:tcPr>
            <w:tcW w:type="dxa" w:w="1656"/>
          </w:tcPr>
          <w:p>
            <w:pPr>
              <w:spacing w:before="20" w:after="20" w:line="240" w:lineRule="auto"/>
            </w:pPr>
            <w:r/>
            <w:r>
              <w:rPr>
                <w:rFonts w:ascii="Times New Roman" w:hAnsi="Times New Roman"/>
                <w:b w:val="0"/>
                <w:sz w:val="19"/>
              </w:rPr>
              <w:t>data, research, writing</w:t>
            </w:r>
          </w:p>
        </w:tc>
        <w:tc>
          <w:tcPr>
            <w:tcW w:type="dxa" w:w="4608"/>
          </w:tcPr>
          <w:p>
            <w:pPr>
              <w:spacing w:before="20" w:after="20" w:line="240" w:lineRule="auto"/>
            </w:pPr>
            <w:r/>
            <w:r>
              <w:rPr>
                <w:rFonts w:ascii="Times New Roman" w:hAnsi="Times New Roman"/>
                <w:b w:val="0"/>
                <w:sz w:val="19"/>
              </w:rPr>
              <w:t>298-34, 298-35, 298-38 — four-stage data pipeline in one command: https://github.com/298A-Team-2-Topic-23/Low-Resource-and-Code-Switched-Language-Systems/pull/18</w:t>
            </w:r>
          </w:p>
        </w:tc>
      </w:tr>
      <w:tr>
        <w:tc>
          <w:tcPr>
            <w:tcW w:type="dxa" w:w="1944"/>
          </w:tcPr>
          <w:p>
            <w:pPr>
              <w:spacing w:before="20" w:after="20" w:line="240" w:lineRule="auto"/>
            </w:pPr>
            <w:r/>
            <w:r>
              <w:rPr>
                <w:rFonts w:ascii="Times New Roman" w:hAnsi="Times New Roman"/>
                <w:b w:val="0"/>
                <w:sz w:val="19"/>
              </w:rPr>
              <w:t>Team total</w:t>
            </w:r>
          </w:p>
        </w:tc>
        <w:tc>
          <w:tcPr>
            <w:tcW w:type="dxa" w:w="1152"/>
          </w:tcPr>
          <w:p>
            <w:pPr>
              <w:spacing w:before="20" w:after="20" w:line="240" w:lineRule="auto"/>
              <w:jc w:val="center"/>
            </w:pPr>
            <w:r/>
            <w:r>
              <w:rPr>
                <w:rFonts w:ascii="Times New Roman" w:hAnsi="Times New Roman"/>
                <w:b w:val="0"/>
                <w:sz w:val="19"/>
              </w:rPr>
              <w:t>20</w:t>
            </w:r>
          </w:p>
        </w:tc>
        <w:tc>
          <w:tcPr>
            <w:tcW w:type="dxa" w:w="1656"/>
          </w:tcPr>
          <w:p>
            <w:pPr>
              <w:spacing w:before="20" w:after="20" w:line="240" w:lineRule="auto"/>
            </w:pPr>
            <w:r/>
            <w:r>
              <w:rPr>
                <w:rFonts w:ascii="Times New Roman" w:hAnsi="Times New Roman"/>
                <w:b w:val="0"/>
                <w:sz w:val="19"/>
              </w:rPr>
              <w:t>data, eval, infra, research, writing</w:t>
            </w:r>
          </w:p>
        </w:tc>
        <w:tc>
          <w:tcPr>
            <w:tcW w:type="dxa" w:w="4608"/>
          </w:tcPr>
          <w:p>
            <w:pPr>
              <w:spacing w:before="20" w:after="20" w:line="240" w:lineRule="auto"/>
            </w:pPr>
            <w:r/>
            <w:r>
              <w:rPr>
                <w:rFonts w:ascii="Times New Roman" w:hAnsi="Times New Roman"/>
                <w:b w:val="0"/>
                <w:sz w:val="19"/>
              </w:rPr>
              <w:t>23 pull requests merged, 0 reviewed, 19 self-merged</w:t>
            </w:r>
          </w:p>
        </w:tc>
      </w:tr>
    </w:tbl>
    <w:p>
      <w:pPr>
        <w:pStyle w:val="ListBullet"/>
        <w:spacing w:after="40"/>
      </w:pPr>
      <w:r>
        <w:rPr>
          <w:rFonts w:ascii="Times New Roman" w:hAnsi="Times New Roman"/>
          <w:sz w:val="20"/>
        </w:rPr>
        <w:t>The window is 25 September to 22 October in Pacific time, which is how Linear anchors its cycles. Five pull requests merged on the evening of 24 September read as 25 September in UTC; they belong to Progress Report 1 and are not counted again here.</w:t>
      </w:r>
    </w:p>
    <w:p>
      <w:pPr>
        <w:pStyle w:val="ListBullet"/>
        <w:spacing w:after="40"/>
      </w:pPr>
      <w:r>
        <w:rPr>
          <w:rFonts w:ascii="Times New Roman" w:hAnsi="Times New Roman"/>
          <w:sz w:val="20"/>
        </w:rPr>
        <w:t>This table was counted after the 298-45 reset, so it counts work a reader can open. Eight issues had been marked Done with no artifact on main — 298-10, 298-15, 298-16, 298-17, 298-21, 298-23, 298-24 and 298-25 — and each now carries a comment naming what is missing and the issue that tracks the remainder.</w:t>
      </w:r>
    </w:p>
    <w:p>
      <w:pPr>
        <w:pStyle w:val="ListBullet"/>
        <w:spacing w:after="40"/>
      </w:pPr>
      <w:r>
        <w:rPr>
          <w:rFonts w:ascii="Times New Roman" w:hAnsi="Times New Roman"/>
          <w:sz w:val="20"/>
        </w:rPr>
        <w:t>Singh's four closed issues overstate his period and his two pull requests understate it. He was unwell on 22 October; 298-45 and 298-48 are assigned to him and closed under his name, but the work was done by Waghmare and merged as pull request 31. His own output this period is 298-37 and 298-40.</w:t>
      </w:r>
    </w:p>
    <w:p>
      <w:pPr>
        <w:pStyle w:val="ListBullet"/>
        <w:spacing w:after="40"/>
      </w:pPr>
      <w:r>
        <w:rPr>
          <w:rFonts w:ascii="Times New Roman" w:hAnsi="Times New Roman"/>
          <w:sz w:val="20"/>
        </w:rPr>
        <w:t>The Linear assignee and the pull-request author disagree in both directions. 298-34 and 298-38 are Shevkar's on the board and landed as pull requests authored by Savalia, which is why Shevkar closed the fewest issues but the second-most story points — the data pipeline alone is an eight-point issue. Two of Thomas Lnu's branches were committed and merged under Waghmare's account.</w:t>
      </w:r>
    </w:p>
    <w:p>
      <w:pPr>
        <w:pStyle w:val="ListBullet"/>
        <w:spacing w:after="40"/>
      </w:pPr>
      <w:r>
        <w:rPr>
          <w:rFonts w:ascii="Times New Roman" w:hAnsi="Times New Roman"/>
          <w:sz w:val="20"/>
        </w:rPr>
        <w:t>No model-labelled issue closed this period. Five of the six configured labels were exercised; the sixth is model, and both of its issues are blocked on the GPU allocation. The label gap and row 4.5 of Part A are the same fact.</w:t>
      </w:r>
    </w:p>
    <w:p>
      <w:pPr>
        <w:pStyle w:val="ListBullet"/>
        <w:spacing w:after="40"/>
      </w:pPr>
      <w:r>
        <w:rPr>
          <w:rFonts w:ascii="Times New Roman" w:hAnsi="Times New Roman"/>
          <w:sz w:val="20"/>
        </w:rPr>
        <w:t>No pull request merged in this window carried a review, and 19 of the 23 were merged by their own author. Branch protection is not enabled on the default branch. This is the most serious process finding of the period and is the first item in Part D.</w:t>
      </w:r>
    </w:p>
    <w:p>
      <w:r>
        <w:br w:type="page"/>
      </w:r>
    </w:p>
    <w:p>
      <w:pPr>
        <w:spacing w:before="360" w:after="160"/>
      </w:pPr>
      <w:r>
        <w:rPr>
          <w:rFonts w:ascii="Times New Roman" w:hAnsi="Times New Roman"/>
          <w:b/>
          <w:i w:val="0"/>
          <w:sz w:val="28"/>
        </w:rPr>
        <w:t>Part D  ·  Blockers, risks and next period</w:t>
      </w:r>
    </w:p>
    <w:tbl>
      <w:tblPr>
        <w:tblW w:type="auto" w:w="0"/>
        <w:jc w:val="left"/>
        <w:tblLayout w:type="fixed"/>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340"/>
        <w:gridCol w:w="2340"/>
        <w:gridCol w:w="2340"/>
        <w:gridCol w:w="2340"/>
      </w:tblGrid>
      <w:tr>
        <w:tc>
          <w:tcPr>
            <w:tcW w:type="dxa" w:w="2736"/>
            <w:shd w:val="clear" w:color="auto" w:fill="EFEFEF"/>
          </w:tcPr>
          <w:p>
            <w:pPr>
              <w:spacing w:before="20" w:after="20" w:line="240" w:lineRule="auto"/>
            </w:pPr>
            <w:r/>
            <w:r>
              <w:rPr>
                <w:rFonts w:ascii="Times New Roman" w:hAnsi="Times New Roman"/>
                <w:b/>
                <w:sz w:val="19"/>
              </w:rPr>
              <w:t>Blocker or risk</w:t>
            </w:r>
          </w:p>
        </w:tc>
        <w:tc>
          <w:tcPr>
            <w:tcW w:type="dxa" w:w="2808"/>
            <w:shd w:val="clear" w:color="auto" w:fill="EFEFEF"/>
          </w:tcPr>
          <w:p>
            <w:pPr>
              <w:spacing w:before="20" w:after="20" w:line="240" w:lineRule="auto"/>
            </w:pPr>
            <w:r/>
            <w:r>
              <w:rPr>
                <w:rFonts w:ascii="Times New Roman" w:hAnsi="Times New Roman"/>
                <w:b/>
                <w:sz w:val="19"/>
              </w:rPr>
              <w:t>Impact</w:t>
            </w:r>
          </w:p>
        </w:tc>
        <w:tc>
          <w:tcPr>
            <w:tcW w:type="dxa" w:w="1080"/>
            <w:shd w:val="clear" w:color="auto" w:fill="EFEFEF"/>
          </w:tcPr>
          <w:p>
            <w:pPr>
              <w:spacing w:before="20" w:after="20" w:line="240" w:lineRule="auto"/>
            </w:pPr>
            <w:r/>
            <w:r>
              <w:rPr>
                <w:rFonts w:ascii="Times New Roman" w:hAnsi="Times New Roman"/>
                <w:b/>
                <w:sz w:val="19"/>
              </w:rPr>
              <w:t>Owner</w:t>
            </w:r>
          </w:p>
        </w:tc>
        <w:tc>
          <w:tcPr>
            <w:tcW w:type="dxa" w:w="2736"/>
            <w:shd w:val="clear" w:color="auto" w:fill="EFEFEF"/>
          </w:tcPr>
          <w:p>
            <w:pPr>
              <w:spacing w:before="20" w:after="20" w:line="240" w:lineRule="auto"/>
            </w:pPr>
            <w:r/>
            <w:r>
              <w:rPr>
                <w:rFonts w:ascii="Times New Roman" w:hAnsi="Times New Roman"/>
                <w:b/>
                <w:sz w:val="19"/>
              </w:rPr>
              <w:t>Next action and date</w:t>
            </w:r>
          </w:p>
        </w:tc>
      </w:tr>
      <w:tr>
        <w:tc>
          <w:tcPr>
            <w:tcW w:type="dxa" w:w="2736"/>
          </w:tcPr>
          <w:p>
            <w:pPr>
              <w:spacing w:before="20" w:after="20" w:line="240" w:lineRule="auto"/>
            </w:pPr>
            <w:r/>
            <w:r>
              <w:rPr>
                <w:rFonts w:ascii="Times New Roman" w:hAnsi="Times New Roman"/>
                <w:b w:val="0"/>
                <w:sz w:val="19"/>
              </w:rPr>
              <w:t>GPU allocation requested on 26 September is still unconfirmed</w:t>
            </w:r>
          </w:p>
        </w:tc>
        <w:tc>
          <w:tcPr>
            <w:tcW w:type="dxa" w:w="2808"/>
          </w:tcPr>
          <w:p>
            <w:pPr>
              <w:spacing w:before="20" w:after="20" w:line="240" w:lineRule="auto"/>
            </w:pPr>
            <w:r/>
            <w:r>
              <w:rPr>
                <w:rFonts w:ascii="Times New Roman" w:hAnsi="Times New Roman"/>
                <w:b w:val="0"/>
                <w:sz w:val="19"/>
              </w:rPr>
              <w:t>Blocks the baseline, Model 1 and Model 2 — three of the four items Team Meeting 2 requires on 12 November. Rows 4.5 and 4.6 cannot move</w:t>
            </w:r>
          </w:p>
        </w:tc>
        <w:tc>
          <w:tcPr>
            <w:tcW w:type="dxa" w:w="1080"/>
          </w:tcPr>
          <w:p>
            <w:pPr>
              <w:spacing w:before="20" w:after="20" w:line="240" w:lineRule="auto"/>
            </w:pPr>
            <w:r/>
            <w:r>
              <w:rPr>
                <w:rFonts w:ascii="Times New Roman" w:hAnsi="Times New Roman"/>
                <w:b w:val="0"/>
                <w:sz w:val="19"/>
              </w:rPr>
              <w:t>Singh</w:t>
            </w:r>
          </w:p>
        </w:tc>
        <w:tc>
          <w:tcPr>
            <w:tcW w:type="dxa" w:w="2736"/>
          </w:tcPr>
          <w:p>
            <w:pPr>
              <w:spacing w:before="20" w:after="20" w:line="240" w:lineRule="auto"/>
            </w:pPr>
            <w:r/>
            <w:r>
              <w:rPr>
                <w:rFonts w:ascii="Times New Roman" w:hAnsi="Times New Roman"/>
                <w:b w:val="0"/>
                <w:sz w:val="19"/>
              </w:rPr>
              <w:t>Written answer from the cluster, or the fallback funded and one job proven on it, by 24 October (298-51)</w:t>
            </w:r>
          </w:p>
        </w:tc>
      </w:tr>
      <w:tr>
        <w:tc>
          <w:tcPr>
            <w:tcW w:type="dxa" w:w="2736"/>
          </w:tcPr>
          <w:p>
            <w:pPr>
              <w:spacing w:before="20" w:after="20" w:line="240" w:lineRule="auto"/>
            </w:pPr>
            <w:r/>
            <w:r>
              <w:rPr>
                <w:rFonts w:ascii="Times New Roman" w:hAnsi="Times New Roman"/>
                <w:b w:val="0"/>
                <w:sz w:val="19"/>
              </w:rPr>
              <w:t>No model trained or scored on the real corpus</w:t>
            </w:r>
          </w:p>
        </w:tc>
        <w:tc>
          <w:tcPr>
            <w:tcW w:type="dxa" w:w="2808"/>
          </w:tcPr>
          <w:p>
            <w:pPr>
              <w:spacing w:before="20" w:after="20" w:line="240" w:lineRule="auto"/>
            </w:pPr>
            <w:r/>
            <w:r>
              <w:rPr>
                <w:rFonts w:ascii="Times New Roman" w:hAnsi="Times New Roman"/>
                <w:b w:val="0"/>
                <w:sz w:val="19"/>
              </w:rPr>
              <w:t>Row 4.5 is at 25%. The only numbers that exist are a single-seed synthetic smoke test on a 0.5B stand-in, so the central comparison of the project is unmeasured</w:t>
            </w:r>
          </w:p>
        </w:tc>
        <w:tc>
          <w:tcPr>
            <w:tcW w:type="dxa" w:w="1080"/>
          </w:tcPr>
          <w:p>
            <w:pPr>
              <w:spacing w:before="20" w:after="20" w:line="240" w:lineRule="auto"/>
            </w:pPr>
            <w:r/>
            <w:r>
              <w:rPr>
                <w:rFonts w:ascii="Times New Roman" w:hAnsi="Times New Roman"/>
                <w:b w:val="0"/>
                <w:sz w:val="19"/>
              </w:rPr>
              <w:t>Waghmare</w:t>
            </w:r>
          </w:p>
        </w:tc>
        <w:tc>
          <w:tcPr>
            <w:tcW w:type="dxa" w:w="2736"/>
          </w:tcPr>
          <w:p>
            <w:pPr>
              <w:spacing w:before="20" w:after="20" w:line="240" w:lineRule="auto"/>
            </w:pPr>
            <w:r/>
            <w:r>
              <w:rPr>
                <w:rFonts w:ascii="Times New Roman" w:hAnsi="Times New Roman"/>
                <w:b w:val="0"/>
                <w:sz w:val="19"/>
              </w:rPr>
              <w:t>Model 1 scored on three seeds by 3 November (298-53); Model 2 QLoRA on three seeds by 9 November (298-54)</w:t>
            </w:r>
          </w:p>
        </w:tc>
      </w:tr>
      <w:tr>
        <w:tc>
          <w:tcPr>
            <w:tcW w:type="dxa" w:w="2736"/>
          </w:tcPr>
          <w:p>
            <w:pPr>
              <w:spacing w:before="20" w:after="20" w:line="240" w:lineRule="auto"/>
            </w:pPr>
            <w:r/>
            <w:r>
              <w:rPr>
                <w:rFonts w:ascii="Times New Roman" w:hAnsi="Times New Roman"/>
                <w:b w:val="0"/>
                <w:sz w:val="19"/>
              </w:rPr>
              <w:t>Published baseline has no code release and the reproduction has not been run</w:t>
            </w:r>
          </w:p>
        </w:tc>
        <w:tc>
          <w:tcPr>
            <w:tcW w:type="dxa" w:w="2808"/>
          </w:tcPr>
          <w:p>
            <w:pPr>
              <w:spacing w:before="20" w:after="20" w:line="240" w:lineRule="auto"/>
            </w:pPr>
            <w:r/>
            <w:r>
              <w:rPr>
                <w:rFonts w:ascii="Times New Roman" w:hAnsi="Times New Roman"/>
                <w:b w:val="0"/>
                <w:sz w:val="19"/>
              </w:rPr>
              <w:t>The evaluation harness is unvalidated against any external number, so a plausible-looking score cannot be distinguished from a harness bug</w:t>
            </w:r>
          </w:p>
        </w:tc>
        <w:tc>
          <w:tcPr>
            <w:tcW w:type="dxa" w:w="1080"/>
          </w:tcPr>
          <w:p>
            <w:pPr>
              <w:spacing w:before="20" w:after="20" w:line="240" w:lineRule="auto"/>
            </w:pPr>
            <w:r/>
            <w:r>
              <w:rPr>
                <w:rFonts w:ascii="Times New Roman" w:hAnsi="Times New Roman"/>
                <w:b w:val="0"/>
                <w:sz w:val="19"/>
              </w:rPr>
              <w:t>Thomas Lnu</w:t>
            </w:r>
          </w:p>
        </w:tc>
        <w:tc>
          <w:tcPr>
            <w:tcW w:type="dxa" w:w="2736"/>
          </w:tcPr>
          <w:p>
            <w:pPr>
              <w:spacing w:before="20" w:after="20" w:line="240" w:lineRule="auto"/>
            </w:pPr>
            <w:r/>
            <w:r>
              <w:rPr>
                <w:rFonts w:ascii="Times New Roman" w:hAnsi="Times New Roman"/>
                <w:b w:val="0"/>
                <w:sz w:val="19"/>
              </w:rPr>
              <w:t>Rebuild the mBART recipe from the paper and pass the 0.01 ROUGE-L gate, or document the failure with evidence, by 7 November (298-52)</w:t>
            </w:r>
          </w:p>
        </w:tc>
      </w:tr>
      <w:tr>
        <w:tc>
          <w:tcPr>
            <w:tcW w:type="dxa" w:w="2736"/>
          </w:tcPr>
          <w:p>
            <w:pPr>
              <w:spacing w:before="20" w:after="20" w:line="240" w:lineRule="auto"/>
            </w:pPr>
            <w:r/>
            <w:r>
              <w:rPr>
                <w:rFonts w:ascii="Times New Roman" w:hAnsi="Times New Roman"/>
                <w:b w:val="0"/>
                <w:sz w:val="19"/>
              </w:rPr>
              <w:t>Gold evaluation set is empty: 0 of 800 items</w:t>
            </w:r>
          </w:p>
        </w:tc>
        <w:tc>
          <w:tcPr>
            <w:tcW w:type="dxa" w:w="2808"/>
          </w:tcPr>
          <w:p>
            <w:pPr>
              <w:spacing w:before="20" w:after="20" w:line="240" w:lineRule="auto"/>
            </w:pPr>
            <w:r/>
            <w:r>
              <w:rPr>
                <w:rFonts w:ascii="Times New Roman" w:hAnsi="Times New Roman"/>
                <w:b w:val="0"/>
                <w:sz w:val="19"/>
              </w:rPr>
              <w:t>The code-switching penalty is defined on this set, and the primary success criterion of chrF++ 3.0 points above zero-shot is stated on it</w:t>
            </w:r>
          </w:p>
        </w:tc>
        <w:tc>
          <w:tcPr>
            <w:tcW w:type="dxa" w:w="1080"/>
          </w:tcPr>
          <w:p>
            <w:pPr>
              <w:spacing w:before="20" w:after="20" w:line="240" w:lineRule="auto"/>
            </w:pPr>
            <w:r/>
            <w:r>
              <w:rPr>
                <w:rFonts w:ascii="Times New Roman" w:hAnsi="Times New Roman"/>
                <w:b w:val="0"/>
                <w:sz w:val="19"/>
              </w:rPr>
              <w:t>Savalia</w:t>
            </w:r>
          </w:p>
        </w:tc>
        <w:tc>
          <w:tcPr>
            <w:tcW w:type="dxa" w:w="2736"/>
          </w:tcPr>
          <w:p>
            <w:pPr>
              <w:spacing w:before="20" w:after="20" w:line="240" w:lineRule="auto"/>
            </w:pPr>
            <w:r/>
            <w:r>
              <w:rPr>
                <w:rFonts w:ascii="Times New Roman" w:hAnsi="Times New Roman"/>
                <w:b w:val="0"/>
                <w:sz w:val="19"/>
              </w:rPr>
              <w:t>First 200 items authored and validated, three columns each, by 5 November (298-55)</w:t>
            </w:r>
          </w:p>
        </w:tc>
      </w:tr>
      <w:tr>
        <w:tc>
          <w:tcPr>
            <w:tcW w:type="dxa" w:w="2736"/>
          </w:tcPr>
          <w:p>
            <w:pPr>
              <w:spacing w:before="20" w:after="20" w:line="240" w:lineRule="auto"/>
            </w:pPr>
            <w:r/>
            <w:r>
              <w:rPr>
                <w:rFonts w:ascii="Times New Roman" w:hAnsi="Times New Roman"/>
                <w:b w:val="0"/>
                <w:sz w:val="19"/>
              </w:rPr>
              <w:t>Harness normalisation covers 3 of the lexicon's 72 groups and two rules corrupt forms; no bootstrap resampling exists</w:t>
            </w:r>
          </w:p>
        </w:tc>
        <w:tc>
          <w:tcPr>
            <w:tcW w:type="dxa" w:w="2808"/>
          </w:tcPr>
          <w:p>
            <w:pPr>
              <w:spacing w:before="20" w:after="20" w:line="240" w:lineRule="auto"/>
            </w:pPr>
            <w:r/>
            <w:r>
              <w:rPr>
                <w:rFonts w:ascii="Times New Roman" w:hAnsi="Times New Roman"/>
                <w:b w:val="0"/>
                <w:sz w:val="19"/>
              </w:rPr>
              <w:t>Normalised chrF++ is not comparable with the committed lexicon, and no reported difference can be given a confidence interval</w:t>
            </w:r>
          </w:p>
        </w:tc>
        <w:tc>
          <w:tcPr>
            <w:tcW w:type="dxa" w:w="1080"/>
          </w:tcPr>
          <w:p>
            <w:pPr>
              <w:spacing w:before="20" w:after="20" w:line="240" w:lineRule="auto"/>
            </w:pPr>
            <w:r/>
            <w:r>
              <w:rPr>
                <w:rFonts w:ascii="Times New Roman" w:hAnsi="Times New Roman"/>
                <w:b w:val="0"/>
                <w:sz w:val="19"/>
              </w:rPr>
              <w:t>Thomas Lnu</w:t>
            </w:r>
          </w:p>
        </w:tc>
        <w:tc>
          <w:tcPr>
            <w:tcW w:type="dxa" w:w="2736"/>
          </w:tcPr>
          <w:p>
            <w:pPr>
              <w:spacing w:before="20" w:after="20" w:line="240" w:lineRule="auto"/>
            </w:pPr>
            <w:r/>
            <w:r>
              <w:rPr>
                <w:rFonts w:ascii="Times New Roman" w:hAnsi="Times New Roman"/>
                <w:b w:val="0"/>
                <w:sz w:val="19"/>
              </w:rPr>
              <w:t>Lexicon-driven normalisation and 1,000-sample bootstrap intervals by 2 November (298-59)</w:t>
            </w:r>
          </w:p>
        </w:tc>
      </w:tr>
      <w:tr>
        <w:tc>
          <w:tcPr>
            <w:tcW w:type="dxa" w:w="2736"/>
          </w:tcPr>
          <w:p>
            <w:pPr>
              <w:spacing w:before="20" w:after="20" w:line="240" w:lineRule="auto"/>
            </w:pPr>
            <w:r/>
            <w:r>
              <w:rPr>
                <w:rFonts w:ascii="Times New Roman" w:hAnsi="Times New Roman"/>
                <w:b w:val="0"/>
                <w:sz w:val="19"/>
              </w:rPr>
              <w:t>Branch protection is not enabled: 0 of 23 merged pull requests carried a review and 19 were self-merged</w:t>
            </w:r>
          </w:p>
        </w:tc>
        <w:tc>
          <w:tcPr>
            <w:tcW w:type="dxa" w:w="2808"/>
          </w:tcPr>
          <w:p>
            <w:pPr>
              <w:spacing w:before="20" w:after="20" w:line="240" w:lineRule="auto"/>
            </w:pPr>
            <w:r/>
            <w:r>
              <w:rPr>
                <w:rFonts w:ascii="Times New Roman" w:hAnsi="Times New Roman"/>
                <w:b w:val="0"/>
                <w:sz w:val="19"/>
              </w:rPr>
              <w:t>No independent check on anything merged this period, including the non-determinism found by chance in the split step. The reproducibility claim in Section 7 is weaker than the code behind it</w:t>
            </w:r>
          </w:p>
        </w:tc>
        <w:tc>
          <w:tcPr>
            <w:tcW w:type="dxa" w:w="1080"/>
          </w:tcPr>
          <w:p>
            <w:pPr>
              <w:spacing w:before="20" w:after="20" w:line="240" w:lineRule="auto"/>
            </w:pPr>
            <w:r/>
            <w:r>
              <w:rPr>
                <w:rFonts w:ascii="Times New Roman" w:hAnsi="Times New Roman"/>
                <w:b w:val="0"/>
                <w:sz w:val="19"/>
              </w:rPr>
              <w:t>Singh</w:t>
            </w:r>
          </w:p>
        </w:tc>
        <w:tc>
          <w:tcPr>
            <w:tcW w:type="dxa" w:w="2736"/>
          </w:tcPr>
          <w:p>
            <w:pPr>
              <w:spacing w:before="20" w:after="20" w:line="240" w:lineRule="auto"/>
            </w:pPr>
            <w:r/>
            <w:r>
              <w:rPr>
                <w:rFonts w:ascii="Times New Roman" w:hAnsi="Times New Roman"/>
                <w:b w:val="0"/>
                <w:sz w:val="19"/>
              </w:rPr>
              <w:t>Protection requiring one non-author approval and a published reviewer rotation by 26 October (298-60)</w:t>
            </w:r>
          </w:p>
        </w:tc>
      </w:tr>
      <w:tr>
        <w:tc>
          <w:tcPr>
            <w:tcW w:type="dxa" w:w="2736"/>
          </w:tcPr>
          <w:p>
            <w:pPr>
              <w:spacing w:before="20" w:after="20" w:line="240" w:lineRule="auto"/>
            </w:pPr>
            <w:r/>
            <w:r>
              <w:rPr>
                <w:rFonts w:ascii="Times New Roman" w:hAnsi="Times New Roman"/>
                <w:b w:val="0"/>
                <w:sz w:val="19"/>
              </w:rPr>
              <w:t>Nothing is deployed, and Team Meeting 2 requires a live prototype</w:t>
            </w:r>
          </w:p>
        </w:tc>
        <w:tc>
          <w:tcPr>
            <w:tcW w:type="dxa" w:w="2808"/>
          </w:tcPr>
          <w:p>
            <w:pPr>
              <w:spacing w:before="20" w:after="20" w:line="240" w:lineRule="auto"/>
            </w:pPr>
            <w:r/>
            <w:r>
              <w:rPr>
                <w:rFonts w:ascii="Times New Roman" w:hAnsi="Times New Roman"/>
                <w:b w:val="0"/>
                <w:sz w:val="19"/>
              </w:rPr>
              <w:t>Row 5 is at 5%. A demonstration cannot be assembled in the final week</w:t>
            </w:r>
          </w:p>
        </w:tc>
        <w:tc>
          <w:tcPr>
            <w:tcW w:type="dxa" w:w="1080"/>
          </w:tcPr>
          <w:p>
            <w:pPr>
              <w:spacing w:before="20" w:after="20" w:line="240" w:lineRule="auto"/>
            </w:pPr>
            <w:r/>
            <w:r>
              <w:rPr>
                <w:rFonts w:ascii="Times New Roman" w:hAnsi="Times New Roman"/>
                <w:b w:val="0"/>
                <w:sz w:val="19"/>
              </w:rPr>
              <w:t>Singh</w:t>
            </w:r>
          </w:p>
        </w:tc>
        <w:tc>
          <w:tcPr>
            <w:tcW w:type="dxa" w:w="2736"/>
          </w:tcPr>
          <w:p>
            <w:pPr>
              <w:spacing w:before="20" w:after="20" w:line="240" w:lineRule="auto"/>
            </w:pPr>
            <w:r/>
            <w:r>
              <w:rPr>
                <w:rFonts w:ascii="Times New Roman" w:hAnsi="Times New Roman"/>
                <w:b w:val="0"/>
                <w:sz w:val="19"/>
              </w:rPr>
              <w:t>Thin-slice prototype deployed to the cloud with the latency target measured, by 9 November (298-56)</w:t>
            </w:r>
          </w:p>
        </w:tc>
      </w:tr>
      <w:tr>
        <w:tc>
          <w:tcPr>
            <w:tcW w:type="dxa" w:w="2736"/>
          </w:tcPr>
          <w:p>
            <w:pPr>
              <w:spacing w:before="20" w:after="20" w:line="240" w:lineRule="auto"/>
            </w:pPr>
            <w:r/>
            <w:r>
              <w:rPr>
                <w:rFonts w:ascii="Times New Roman" w:hAnsi="Times New Roman"/>
                <w:b w:val="0"/>
                <w:sz w:val="19"/>
              </w:rPr>
              <w:t>Back-translation source has not been checked against the test sources</w:t>
            </w:r>
          </w:p>
        </w:tc>
        <w:tc>
          <w:tcPr>
            <w:tcW w:type="dxa" w:w="2808"/>
          </w:tcPr>
          <w:p>
            <w:pPr>
              <w:spacing w:before="20" w:after="20" w:line="240" w:lineRule="auto"/>
            </w:pPr>
            <w:r/>
            <w:r>
              <w:rPr>
                <w:rFonts w:ascii="Times New Roman" w:hAnsi="Times New Roman"/>
                <w:b w:val="0"/>
                <w:sz w:val="19"/>
              </w:rPr>
              <w:t>HinGE's English comes from the IIT Bombay corpus, which is part of Samanantar. If the sets intersect, Model 4 is invalidated and the contamination is invisible in the scores</w:t>
            </w:r>
          </w:p>
        </w:tc>
        <w:tc>
          <w:tcPr>
            <w:tcW w:type="dxa" w:w="1080"/>
          </w:tcPr>
          <w:p>
            <w:pPr>
              <w:spacing w:before="20" w:after="20" w:line="240" w:lineRule="auto"/>
            </w:pPr>
            <w:r/>
            <w:r>
              <w:rPr>
                <w:rFonts w:ascii="Times New Roman" w:hAnsi="Times New Roman"/>
                <w:b w:val="0"/>
                <w:sz w:val="19"/>
              </w:rPr>
              <w:t>Shevkar</w:t>
            </w:r>
          </w:p>
        </w:tc>
        <w:tc>
          <w:tcPr>
            <w:tcW w:type="dxa" w:w="2736"/>
          </w:tcPr>
          <w:p>
            <w:pPr>
              <w:spacing w:before="20" w:after="20" w:line="240" w:lineRule="auto"/>
            </w:pPr>
            <w:r/>
            <w:r>
              <w:rPr>
                <w:rFonts w:ascii="Times New Roman" w:hAnsi="Times New Roman"/>
                <w:b w:val="0"/>
                <w:sz w:val="19"/>
              </w:rPr>
              <w:t>Contamination check run before any synthetic data is generated, by 9 November (298-58)</w:t>
            </w:r>
          </w:p>
        </w:tc>
      </w:tr>
      <w:tr>
        <w:tc>
          <w:tcPr>
            <w:tcW w:type="dxa" w:w="2736"/>
          </w:tcPr>
          <w:p>
            <w:pPr>
              <w:spacing w:before="20" w:after="20" w:line="240" w:lineRule="auto"/>
            </w:pPr>
            <w:r/>
            <w:r>
              <w:rPr>
                <w:rFonts w:ascii="Times New Roman" w:hAnsi="Times New Roman"/>
                <w:b w:val="0"/>
                <w:sz w:val="19"/>
              </w:rPr>
              <w:t>Work arrives in bursts: all 23 merges this period fell on two days, with a fourteen-day gap between them</w:t>
            </w:r>
          </w:p>
        </w:tc>
        <w:tc>
          <w:tcPr>
            <w:tcW w:type="dxa" w:w="2808"/>
          </w:tcPr>
          <w:p>
            <w:pPr>
              <w:spacing w:before="20" w:after="20" w:line="240" w:lineRule="auto"/>
            </w:pPr>
            <w:r/>
            <w:r>
              <w:rPr>
                <w:rFonts w:ascii="Times New Roman" w:hAnsi="Times New Roman"/>
                <w:b w:val="0"/>
                <w:sz w:val="19"/>
              </w:rPr>
              <w:t>Review is impossible at that cadence, and a late failure in the GPU runs leaves no recovery time before 11 November</w:t>
            </w:r>
          </w:p>
        </w:tc>
        <w:tc>
          <w:tcPr>
            <w:tcW w:type="dxa" w:w="1080"/>
          </w:tcPr>
          <w:p>
            <w:pPr>
              <w:spacing w:before="20" w:after="20" w:line="240" w:lineRule="auto"/>
            </w:pPr>
            <w:r/>
            <w:r>
              <w:rPr>
                <w:rFonts w:ascii="Times New Roman" w:hAnsi="Times New Roman"/>
                <w:b w:val="0"/>
                <w:sz w:val="19"/>
              </w:rPr>
              <w:t>All five; Singh tracks</w:t>
            </w:r>
          </w:p>
        </w:tc>
        <w:tc>
          <w:tcPr>
            <w:tcW w:type="dxa" w:w="2736"/>
          </w:tcPr>
          <w:p>
            <w:pPr>
              <w:spacing w:before="20" w:after="20" w:line="240" w:lineRule="auto"/>
            </w:pPr>
            <w:r/>
            <w:r>
              <w:rPr>
                <w:rFonts w:ascii="Times New Roman" w:hAnsi="Times New Roman"/>
                <w:b w:val="0"/>
                <w:sz w:val="19"/>
              </w:rPr>
              <w:t>Every member pushes at least one commit against a Cycle 4 issue by 26 October, then at least twice a week</w:t>
            </w:r>
          </w:p>
        </w:tc>
      </w:tr>
      <w:tr>
        <w:tc>
          <w:tcPr>
            <w:tcW w:type="dxa" w:w="2736"/>
          </w:tcPr>
          <w:p>
            <w:pPr>
              <w:spacing w:before="20" w:after="20" w:line="240" w:lineRule="auto"/>
            </w:pPr>
            <w:r/>
            <w:r>
              <w:rPr>
                <w:rFonts w:ascii="Times New Roman" w:hAnsi="Times New Roman"/>
                <w:b w:val="0"/>
                <w:sz w:val="19"/>
              </w:rPr>
              <w:t>Model and infrastructure work is concentrated in two members</w:t>
            </w:r>
          </w:p>
        </w:tc>
        <w:tc>
          <w:tcPr>
            <w:tcW w:type="dxa" w:w="2808"/>
          </w:tcPr>
          <w:p>
            <w:pPr>
              <w:spacing w:before="20" w:after="20" w:line="240" w:lineRule="auto"/>
            </w:pPr>
            <w:r/>
            <w:r>
              <w:rPr>
                <w:rFonts w:ascii="Times New Roman" w:hAnsi="Times New Roman"/>
                <w:b w:val="0"/>
                <w:sz w:val="19"/>
              </w:rPr>
              <w:t>Single point of failure on the training code and the deployment path; label balance on the board hides it because writing issues are spread evenly</w:t>
            </w:r>
          </w:p>
        </w:tc>
        <w:tc>
          <w:tcPr>
            <w:tcW w:type="dxa" w:w="1080"/>
          </w:tcPr>
          <w:p>
            <w:pPr>
              <w:spacing w:before="20" w:after="20" w:line="240" w:lineRule="auto"/>
            </w:pPr>
            <w:r/>
            <w:r>
              <w:rPr>
                <w:rFonts w:ascii="Times New Roman" w:hAnsi="Times New Roman"/>
                <w:b w:val="0"/>
                <w:sz w:val="19"/>
              </w:rPr>
              <w:t>Singh</w:t>
            </w:r>
          </w:p>
        </w:tc>
        <w:tc>
          <w:tcPr>
            <w:tcW w:type="dxa" w:w="2736"/>
          </w:tcPr>
          <w:p>
            <w:pPr>
              <w:spacing w:before="20" w:after="20" w:line="240" w:lineRule="auto"/>
            </w:pPr>
            <w:r/>
            <w:r>
              <w:rPr>
                <w:rFonts w:ascii="Times New Roman" w:hAnsi="Times New Roman"/>
                <w:b w:val="0"/>
                <w:sz w:val="19"/>
              </w:rPr>
              <w:t>Pair a second member onto 298-54 and 298-56, and rotate reviewers from 26 October</w:t>
            </w:r>
          </w:p>
        </w:tc>
      </w:tr>
      <w:tr>
        <w:tc>
          <w:tcPr>
            <w:tcW w:type="dxa" w:w="2736"/>
          </w:tcPr>
          <w:p>
            <w:pPr>
              <w:spacing w:before="20" w:after="20" w:line="240" w:lineRule="auto"/>
            </w:pPr>
            <w:r/>
            <w:r>
              <w:rPr>
                <w:rFonts w:ascii="Times New Roman" w:hAnsi="Times New Roman"/>
                <w:b w:val="0"/>
                <w:sz w:val="19"/>
              </w:rPr>
              <w:t>Risk: the baseline may not reach 0.617 even if rebuilt correctly</w:t>
            </w:r>
          </w:p>
        </w:tc>
        <w:tc>
          <w:tcPr>
            <w:tcW w:type="dxa" w:w="2808"/>
          </w:tcPr>
          <w:p>
            <w:pPr>
              <w:spacing w:before="20" w:after="20" w:line="240" w:lineRule="auto"/>
            </w:pPr>
            <w:r/>
            <w:r>
              <w:rPr>
                <w:rFonts w:ascii="Times New Roman" w:hAnsi="Times New Roman"/>
                <w:b w:val="0"/>
                <w:sz w:val="19"/>
              </w:rPr>
              <w:t>The published figure follows an automatic transliteration step and a dictionary step whose dictionary was never released; with automatic transliteration alone the paper reports 0.484</w:t>
            </w:r>
          </w:p>
        </w:tc>
        <w:tc>
          <w:tcPr>
            <w:tcW w:type="dxa" w:w="1080"/>
          </w:tcPr>
          <w:p>
            <w:pPr>
              <w:spacing w:before="20" w:after="20" w:line="240" w:lineRule="auto"/>
            </w:pPr>
            <w:r/>
            <w:r>
              <w:rPr>
                <w:rFonts w:ascii="Times New Roman" w:hAnsi="Times New Roman"/>
                <w:b w:val="0"/>
                <w:sz w:val="19"/>
              </w:rPr>
              <w:t>Thomas Lnu</w:t>
            </w:r>
          </w:p>
        </w:tc>
        <w:tc>
          <w:tcPr>
            <w:tcW w:type="dxa" w:w="2736"/>
          </w:tcPr>
          <w:p>
            <w:pPr>
              <w:spacing w:before="20" w:after="20" w:line="240" w:lineRule="auto"/>
            </w:pPr>
            <w:r/>
            <w:r>
              <w:rPr>
                <w:rFonts w:ascii="Times New Roman" w:hAnsi="Times New Roman"/>
                <w:b w:val="0"/>
                <w:sz w:val="19"/>
              </w:rPr>
              <w:t>Report against both rows and raise the tolerance question with the advisor rather than tuning toward the number, by 7 November</w:t>
            </w:r>
          </w:p>
        </w:tc>
      </w:tr>
      <w:tr>
        <w:tc>
          <w:tcPr>
            <w:tcW w:type="dxa" w:w="2736"/>
          </w:tcPr>
          <w:p>
            <w:pPr>
              <w:spacing w:before="20" w:after="20" w:line="240" w:lineRule="auto"/>
            </w:pPr>
            <w:r/>
            <w:r>
              <w:rPr>
                <w:rFonts w:ascii="Times New Roman" w:hAnsi="Times New Roman"/>
                <w:b w:val="0"/>
                <w:sz w:val="19"/>
              </w:rPr>
              <w:t>Risk: free-tier GPU may be too slow for three seeds of a 7B model</w:t>
            </w:r>
          </w:p>
        </w:tc>
        <w:tc>
          <w:tcPr>
            <w:tcW w:type="dxa" w:w="2808"/>
          </w:tcPr>
          <w:p>
            <w:pPr>
              <w:spacing w:before="20" w:after="20" w:line="240" w:lineRule="auto"/>
            </w:pPr>
            <w:r/>
            <w:r>
              <w:rPr>
                <w:rFonts w:ascii="Times New Roman" w:hAnsi="Times New Roman"/>
                <w:b w:val="0"/>
                <w:sz w:val="19"/>
              </w:rPr>
              <w:t>A reduced seed count would break the three-seed rule that every reported number depends on</w:t>
            </w:r>
          </w:p>
        </w:tc>
        <w:tc>
          <w:tcPr>
            <w:tcW w:type="dxa" w:w="1080"/>
          </w:tcPr>
          <w:p>
            <w:pPr>
              <w:spacing w:before="20" w:after="20" w:line="240" w:lineRule="auto"/>
            </w:pPr>
            <w:r/>
            <w:r>
              <w:rPr>
                <w:rFonts w:ascii="Times New Roman" w:hAnsi="Times New Roman"/>
                <w:b w:val="0"/>
                <w:sz w:val="19"/>
              </w:rPr>
              <w:t>Waghmare</w:t>
            </w:r>
          </w:p>
        </w:tc>
        <w:tc>
          <w:tcPr>
            <w:tcW w:type="dxa" w:w="2736"/>
          </w:tcPr>
          <w:p>
            <w:pPr>
              <w:spacing w:before="20" w:after="20" w:line="240" w:lineRule="auto"/>
            </w:pPr>
            <w:r/>
            <w:r>
              <w:rPr>
                <w:rFonts w:ascii="Times New Roman" w:hAnsi="Times New Roman"/>
                <w:b w:val="0"/>
                <w:sz w:val="19"/>
              </w:rPr>
              <w:t>The notebook already persists finished seeds; drop to a 4B-class backbone as the stated last resort, never below three seeds</w:t>
            </w:r>
          </w:p>
        </w:tc>
      </w:tr>
    </w:tbl>
    <w:p>
      <w:pPr>
        <w:spacing w:before="240"/>
      </w:pPr>
      <w:r>
        <w:rPr>
          <w:rFonts w:ascii="Times New Roman" w:hAnsi="Times New Roman"/>
          <w:b w:val="0"/>
          <w:i w:val="0"/>
        </w:rPr>
        <w:t>Five specific outcomes for the next period, each with an owner. Cycle 4 runs from 22 October to 9 November, ending three days before Team Meeting 2. Each outcome is checkable against an artifact rather than a statement.</w:t>
      </w:r>
    </w:p>
    <w:p>
      <w:pPr>
        <w:pStyle w:val="ListBullet"/>
        <w:spacing w:after="40"/>
      </w:pPr>
      <w:r>
        <w:rPr>
          <w:rFonts w:ascii="Times New Roman" w:hAnsi="Times New Roman"/>
          <w:sz w:val="21"/>
        </w:rPr>
        <w:t>1.  GPU access confirmed, or the fallback funded and proven by a completed run — Singh, 298-51, by 24 October. Done means: a run record from the chosen GPU in runs/.</w:t>
      </w:r>
    </w:p>
    <w:p>
      <w:pPr>
        <w:pStyle w:val="ListBullet"/>
        <w:spacing w:after="40"/>
      </w:pPr>
      <w:r>
        <w:rPr>
          <w:rFonts w:ascii="Times New Roman" w:hAnsi="Times New Roman"/>
          <w:sz w:val="21"/>
        </w:rPr>
        <w:t>2.  Branch protection enabled with one required non-author review, and the reviewer rotation published — Singh, 298-60, by 26 October. Done means: no pull request merged without a review after this date.</w:t>
      </w:r>
    </w:p>
    <w:p>
      <w:pPr>
        <w:pStyle w:val="ListBullet"/>
        <w:spacing w:after="40"/>
      </w:pPr>
      <w:r>
        <w:rPr>
          <w:rFonts w:ascii="Times New Roman" w:hAnsi="Times New Roman"/>
          <w:sz w:val="21"/>
        </w:rPr>
        <w:t>3.  Model 1 zero-shot scored on the real corpus at three seeds, 0-shot and 5-shot — Waghmare, 298-53, by 3 November. Done means: three run records and a results row with mean and standard deviation.</w:t>
      </w:r>
    </w:p>
    <w:p>
      <w:pPr>
        <w:pStyle w:val="ListBullet"/>
        <w:spacing w:after="40"/>
      </w:pPr>
      <w:r>
        <w:rPr>
          <w:rFonts w:ascii="Times New Roman" w:hAnsi="Times New Roman"/>
          <w:sz w:val="21"/>
        </w:rPr>
        <w:t>4.  First 200 items of the team-authored evaluation set written and validated — Savalia, 298-55, by 5 November. Done means: validate_gold_set.py --expected-count 200 passes.</w:t>
      </w:r>
    </w:p>
    <w:p>
      <w:pPr>
        <w:pStyle w:val="ListBullet"/>
        <w:spacing w:after="40"/>
      </w:pPr>
      <w:r>
        <w:rPr>
          <w:rFonts w:ascii="Times New Roman" w:hAnsi="Times New Roman"/>
          <w:sz w:val="21"/>
        </w:rPr>
        <w:t>5.  Published baseline reproduced within 0.01 ROUGE-L, or the failure documented — Thomas Lnu, 298-52, by 7 November. Done means: scored outputs for both input conditions and a --check-baseline result.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