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A1A1A"/>
          <w:sz w:val="56"/>
          <w:szCs w:val="56"/>
        </w:rPr>
        <w:t xml:space="preserve">SYNTHETIC INDICES</w:t>
      </w:r>
    </w:p>
    <w:p>
      <w:pPr>
        <w:spacing w:before="0" w:after="120"/>
        <w:jc w:val="center"/>
      </w:pPr>
      <w:r>
        <w:rPr>
          <w:rFonts w:ascii="Arial" w:cs="Arial" w:eastAsia="Arial" w:hAnsi="Arial"/>
          <w:i/>
          <w:iCs/>
          <w:color w:val="555555"/>
          <w:sz w:val="28"/>
          <w:szCs w:val="28"/>
        </w:rPr>
        <w:t xml:space="preserve">Mapping Performance Analogues Across Commodities &amp; Futures Markets</w:t>
      </w:r>
    </w:p>
    <w:p>
      <w:pPr>
        <w:pBdr>
          <w:bottom w:val="single" w:color="B8860B" w:sz="6" w:space="4"/>
        </w:pBdr>
        <w:spacing w:before="120" w:after="80"/>
        <w:jc w:val="center"/>
      </w:pPr>
      <w:r>
        <w:rPr>
          <w:rFonts w:ascii="Arial" w:cs="Arial" w:eastAsia="Arial" w:hAnsi="Arial"/>
          <w:b/>
          <w:bCs/>
          <w:color w:val="B8860B"/>
          <w:sz w:val="22"/>
          <w:szCs w:val="22"/>
        </w:rPr>
        <w:t xml:space="preserve">A Comprehensive Research Report</w:t>
      </w:r>
    </w:p>
    <w:p>
      <w:pPr>
        <w:spacing w:before="80" w:after="80"/>
      </w:pPr>
      <w:r>
        <w:t xml:space="preserve"/>
      </w:r>
    </w:p>
    <w:p>
      <w:pPr>
        <w:spacing w:before="240" w:after="80"/>
        <w:jc w:val="center"/>
      </w:pPr>
      <w:r>
        <w:rPr>
          <w:rFonts w:ascii="Arial" w:cs="Arial" w:eastAsia="Arial" w:hAnsi="Arial"/>
          <w:color w:val="777777"/>
          <w:sz w:val="20"/>
          <w:szCs w:val="20"/>
        </w:rPr>
        <w:t xml:space="preserve">Prepared by ORTHOM8pro Research Division</w:t>
      </w:r>
    </w:p>
    <w:p>
      <w:pPr>
        <w:spacing w:before="0" w:after="0"/>
        <w:jc w:val="center"/>
      </w:pPr>
      <w:r>
        <w:rPr>
          <w:rFonts w:ascii="Arial" w:cs="Arial" w:eastAsia="Arial" w:hAnsi="Arial"/>
          <w:color w:val="777777"/>
          <w:sz w:val="20"/>
          <w:szCs w:val="20"/>
        </w:rPr>
        <w:t xml:space="preserve">March 2026</w:t>
      </w:r>
    </w:p>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Executive Summary</w:t>
      </w:r>
    </w:p>
    <w:p>
      <w:pPr>
        <w:spacing w:before="60" w:after="80"/>
      </w:pPr>
      <w:r>
        <w:rPr>
          <w:rFonts w:ascii="Arial" w:cs="Arial" w:eastAsia="Arial" w:hAnsi="Arial"/>
          <w:b w:val="false"/>
          <w:bCs w:val="false"/>
          <w:color w:val="1A1A1A"/>
          <w:sz w:val="21"/>
          <w:szCs w:val="21"/>
        </w:rPr>
        <w:t xml:space="preserve">This report identifies and maps behavioural performance analogues between Deriv's synthetic indices ecosystem and key real-world commodities and futures markets. While synthetic indices are algorithmically generated and remain independent of macroeconomic events, their structural volatility profiles, price action patterns, and statistical behaviours exhibit strong functional similarities to specific commodity instruments.</w:t>
      </w:r>
    </w:p>
    <w:p>
      <w:pPr>
        <w:spacing w:before="80" w:after="80"/>
      </w:pPr>
      <w:r>
        <w:t xml:space="preserve"/>
      </w:r>
    </w:p>
    <w:p>
      <w:pPr>
        <w:spacing w:before="60" w:after="80"/>
      </w:pPr>
      <w:r>
        <w:rPr>
          <w:rFonts w:ascii="Arial" w:cs="Arial" w:eastAsia="Arial" w:hAnsi="Arial"/>
          <w:b w:val="false"/>
          <w:bCs w:val="false"/>
          <w:color w:val="1A1A1A"/>
          <w:sz w:val="21"/>
          <w:szCs w:val="21"/>
        </w:rPr>
        <w:t xml:space="preserve">The research covers seven primary synthetic index families (Volatility, Crash/Boom, Range Break, Drift Switch, Step, Hybrid, and Jump Indices) and cross-references them against ten major commodity and futures markets across Energy, Metals, and Agricultural sectors.</w:t>
      </w:r>
    </w:p>
    <w:p>
      <w:pPr>
        <w:spacing w:before="80" w:after="80"/>
      </w:pPr>
      <w:r>
        <w:t xml:space="preserve"/>
      </w:r>
    </w:p>
    <w:p>
      <w:pPr>
        <w:spacing w:before="60" w:after="80"/>
      </w:pPr>
      <w:r>
        <w:rPr>
          <w:rFonts w:ascii="Arial" w:cs="Arial" w:eastAsia="Arial" w:hAnsi="Arial"/>
          <w:b w:val="false"/>
          <w:bCs w:val="false"/>
          <w:color w:val="1A1A1A"/>
          <w:sz w:val="21"/>
          <w:szCs w:val="21"/>
        </w:rPr>
        <w:t xml:space="preserve">Key finding: The most commercially significant analogues exist between Volatility 25–50 and gold futures; Boom/Crash 300–500 and crude oil (WTI); Volatility 10 (1s) and natural gas short-term scalping windows; and Range Break indices with mean-reverting agricultural contracts like wheat and corn.</w:t>
      </w:r>
    </w:p>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Section 1: Understanding the Two Markets</w:t>
      </w:r>
    </w:p>
    <w:p>
      <w:pPr>
        <w:pStyle w:val="Heading2"/>
        <w:spacing w:before="280" w:after="120"/>
      </w:pPr>
      <w:r>
        <w:rPr>
          <w:rFonts w:ascii="Arial" w:cs="Arial" w:eastAsia="Arial" w:hAnsi="Arial"/>
          <w:b/>
          <w:bCs/>
          <w:color w:val="2E2E2E"/>
          <w:sz w:val="26"/>
          <w:szCs w:val="26"/>
        </w:rPr>
        <w:t xml:space="preserve">1.1 What Are Synthetic Indices?</w:t>
      </w:r>
    </w:p>
    <w:p>
      <w:pPr>
        <w:spacing w:before="60" w:after="80"/>
      </w:pPr>
      <w:r>
        <w:rPr>
          <w:rFonts w:ascii="Arial" w:cs="Arial" w:eastAsia="Arial" w:hAnsi="Arial"/>
          <w:b w:val="false"/>
          <w:bCs w:val="false"/>
          <w:color w:val="1A1A1A"/>
          <w:sz w:val="21"/>
          <w:szCs w:val="21"/>
        </w:rPr>
        <w:t xml:space="preserve">Synthetic indices — predominantly offered by Deriv Group — are algorithm-generated financial instruments designed to replicate the statistical behaviour and price action characteristics of real financial markets. They are driven by cryptographically secure random number generators (CSRNGs) layered with deterministic volatility rules.</w:t>
      </w:r>
    </w:p>
    <w:p>
      <w:pPr>
        <w:spacing w:before="80" w:after="80"/>
      </w:pPr>
      <w:r>
        <w:t xml:space="preserve"/>
      </w:r>
    </w:p>
    <w:p>
      <w:pPr>
        <w:spacing w:before="60" w:after="80"/>
      </w:pPr>
      <w:r>
        <w:rPr>
          <w:rFonts w:ascii="Arial" w:cs="Arial" w:eastAsia="Arial" w:hAnsi="Arial"/>
          <w:b w:val="false"/>
          <w:bCs w:val="false"/>
          <w:color w:val="1A1A1A"/>
          <w:sz w:val="21"/>
          <w:szCs w:val="21"/>
        </w:rPr>
        <w:t xml:space="preserve">Core properties of synthetic indices:</w:t>
      </w:r>
    </w:p>
    <w:p>
      <w:pPr>
        <w:pStyle w:val="ListParagraph"/>
        <w:numPr>
          <w:ilvl w:val="0"/>
          <w:numId w:val="2"/>
        </w:numPr>
        <w:spacing w:before="40" w:after="40"/>
      </w:pPr>
      <w:r>
        <w:rPr>
          <w:rFonts w:ascii="Arial" w:cs="Arial" w:eastAsia="Arial" w:hAnsi="Arial"/>
          <w:color w:val="1A1A1A"/>
          <w:sz w:val="21"/>
          <w:szCs w:val="21"/>
        </w:rPr>
        <w:t xml:space="preserve">Market independence: Price movement is algorithm-driven, not influenced by geopolitical events, earnings reports, or economic data releases.</w:t>
      </w:r>
    </w:p>
    <w:p>
      <w:pPr>
        <w:pStyle w:val="ListParagraph"/>
        <w:numPr>
          <w:ilvl w:val="0"/>
          <w:numId w:val="2"/>
        </w:numPr>
        <w:spacing w:before="40" w:after="40"/>
      </w:pPr>
      <w:r>
        <w:rPr>
          <w:rFonts w:ascii="Arial" w:cs="Arial" w:eastAsia="Arial" w:hAnsi="Arial"/>
          <w:color w:val="1A1A1A"/>
          <w:sz w:val="21"/>
          <w:szCs w:val="21"/>
        </w:rPr>
        <w:t xml:space="preserve">24/7 availability: No exchange hours, no overnight gaps, no weekend closures.</w:t>
      </w:r>
    </w:p>
    <w:p>
      <w:pPr>
        <w:pStyle w:val="ListParagraph"/>
        <w:numPr>
          <w:ilvl w:val="0"/>
          <w:numId w:val="2"/>
        </w:numPr>
        <w:spacing w:before="40" w:after="40"/>
      </w:pPr>
      <w:r>
        <w:rPr>
          <w:rFonts w:ascii="Arial" w:cs="Arial" w:eastAsia="Arial" w:hAnsi="Arial"/>
          <w:color w:val="1A1A1A"/>
          <w:sz w:val="21"/>
          <w:szCs w:val="21"/>
        </w:rPr>
        <w:t xml:space="preserve">Fixed volatility regimes: Each index maintains a predefined statistical volatility level (e.g., 10%, 25%, 50%, 75%, 100%, 250%).</w:t>
      </w:r>
    </w:p>
    <w:p>
      <w:pPr>
        <w:pStyle w:val="ListParagraph"/>
        <w:numPr>
          <w:ilvl w:val="0"/>
          <w:numId w:val="2"/>
        </w:numPr>
        <w:spacing w:before="40" w:after="40"/>
      </w:pPr>
      <w:r>
        <w:rPr>
          <w:rFonts w:ascii="Arial" w:cs="Arial" w:eastAsia="Arial" w:hAnsi="Arial"/>
          <w:color w:val="1A1A1A"/>
          <w:sz w:val="21"/>
          <w:szCs w:val="21"/>
        </w:rPr>
        <w:t xml:space="preserve">Transparent mechanics: Crash/Boom tick probabilities are mathematically defined and publicly disclosed.</w:t>
      </w:r>
    </w:p>
    <w:p>
      <w:pPr>
        <w:pStyle w:val="ListParagraph"/>
        <w:numPr>
          <w:ilvl w:val="0"/>
          <w:numId w:val="2"/>
        </w:numPr>
        <w:spacing w:before="40" w:after="40"/>
      </w:pPr>
      <w:r>
        <w:rPr>
          <w:rFonts w:ascii="Arial" w:cs="Arial" w:eastAsia="Arial" w:hAnsi="Arial"/>
          <w:color w:val="1A1A1A"/>
          <w:sz w:val="21"/>
          <w:szCs w:val="21"/>
        </w:rPr>
        <w:t xml:space="preserve">Leverage access: Up to 1:1000 on selected instruments on Deriv MT5/cTrader.</w:t>
      </w:r>
    </w:p>
    <w:p>
      <w:pPr>
        <w:spacing w:before="80" w:after="80"/>
      </w:pPr>
      <w:r>
        <w:t xml:space="preserve"/>
      </w:r>
    </w:p>
    <w:p>
      <w:pPr>
        <w:pStyle w:val="Heading2"/>
        <w:spacing w:before="280" w:after="120"/>
      </w:pPr>
      <w:r>
        <w:rPr>
          <w:rFonts w:ascii="Arial" w:cs="Arial" w:eastAsia="Arial" w:hAnsi="Arial"/>
          <w:b/>
          <w:bCs/>
          <w:color w:val="2E2E2E"/>
          <w:sz w:val="26"/>
          <w:szCs w:val="26"/>
        </w:rPr>
        <w:t xml:space="preserve">1.2 Synthetic Index Families (Deriv Ecosystem — 2025)</w:t>
      </w:r>
    </w:p>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1300"/>
        <w:gridCol w:w="2360"/>
      </w:tblGrid>
      <w:tr>
        <w:trPr>
          <w:tblHeader/>
        </w:trPr>
        <w:tc>
          <w:tcPr>
            <w:tcW w:type="dxa" w:w="22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Index Family</w:t>
            </w:r>
          </w:p>
        </w:tc>
        <w:tc>
          <w:tcPr>
            <w:tcW w:type="dxa" w:w="27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Variants Available</w:t>
            </w:r>
          </w:p>
        </w:tc>
        <w:tc>
          <w:tcPr>
            <w:tcW w:type="dxa" w:w="18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Volatility Range</w:t>
            </w:r>
          </w:p>
        </w:tc>
        <w:tc>
          <w:tcPr>
            <w:tcW w:type="dxa" w:w="13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Tick Speed</w:t>
            </w:r>
          </w:p>
        </w:tc>
        <w:tc>
          <w:tcPr>
            <w:tcW w:type="dxa" w:w="236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Primary Behaviour</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Volatility Indices</w:t>
            </w:r>
          </w:p>
        </w:tc>
        <w:tc>
          <w:tcPr>
            <w:tcW w:type="dxa" w:w="2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V10, V25, V50, V75, V100, V250 (+ 1s versions)</w:t>
            </w:r>
          </w:p>
        </w:tc>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 250%</w:t>
            </w:r>
          </w:p>
        </w:tc>
        <w:tc>
          <w:tcPr>
            <w:tcW w:type="dxa" w:w="13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1s / 2s</w:t>
            </w:r>
          </w:p>
        </w:tc>
        <w:tc>
          <w:tcPr>
            <w:tcW w:type="dxa" w:w="23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Continuous fixed-vol random walk</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Crash Indices</w:t>
            </w:r>
          </w:p>
        </w:tc>
        <w:tc>
          <w:tcPr>
            <w:tcW w:type="dxa" w:w="2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C150, C300, C500, C600, C900, C1000</w:t>
            </w:r>
          </w:p>
        </w:tc>
        <w:tc>
          <w:tcPr>
            <w:tcW w:type="dxa" w:w="18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~20–35% between events</w:t>
            </w:r>
          </w:p>
        </w:tc>
        <w:tc>
          <w:tcPr>
            <w:tcW w:type="dxa" w:w="13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1s / 2s</w:t>
            </w:r>
          </w:p>
        </w:tc>
        <w:tc>
          <w:tcPr>
            <w:tcW w:type="dxa" w:w="23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Upward drift → sudden sharp drops</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Boom Indices</w:t>
            </w:r>
          </w:p>
        </w:tc>
        <w:tc>
          <w:tcPr>
            <w:tcW w:type="dxa" w:w="2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B150, B300, B500, B600, B900, B1000</w:t>
            </w:r>
          </w:p>
        </w:tc>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~20–35% between events</w:t>
            </w:r>
          </w:p>
        </w:tc>
        <w:tc>
          <w:tcPr>
            <w:tcW w:type="dxa" w:w="13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1s / 2s</w:t>
            </w:r>
          </w:p>
        </w:tc>
        <w:tc>
          <w:tcPr>
            <w:tcW w:type="dxa" w:w="23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Downward drift → sudden sharp spikes up</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Range Break Indices</w:t>
            </w:r>
          </w:p>
        </w:tc>
        <w:tc>
          <w:tcPr>
            <w:tcW w:type="dxa" w:w="2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RB100, RB200</w:t>
            </w:r>
          </w:p>
        </w:tc>
        <w:tc>
          <w:tcPr>
            <w:tcW w:type="dxa" w:w="18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Variable</w:t>
            </w:r>
          </w:p>
        </w:tc>
        <w:tc>
          <w:tcPr>
            <w:tcW w:type="dxa" w:w="13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2s</w:t>
            </w:r>
          </w:p>
        </w:tc>
        <w:tc>
          <w:tcPr>
            <w:tcW w:type="dxa" w:w="23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Range-bound → breakout → new range</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Drift Switch Indices</w:t>
            </w:r>
          </w:p>
        </w:tc>
        <w:tc>
          <w:tcPr>
            <w:tcW w:type="dxa" w:w="2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DS10, DS20, DS30</w:t>
            </w:r>
          </w:p>
        </w:tc>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Variable</w:t>
            </w:r>
          </w:p>
        </w:tc>
        <w:tc>
          <w:tcPr>
            <w:tcW w:type="dxa" w:w="13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2s</w:t>
            </w:r>
          </w:p>
        </w:tc>
        <w:tc>
          <w:tcPr>
            <w:tcW w:type="dxa" w:w="23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Alternating bullish/bearish trend regimes</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Hybrid Indices</w:t>
            </w:r>
          </w:p>
        </w:tc>
        <w:tc>
          <w:tcPr>
            <w:tcW w:type="dxa" w:w="2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Vol over Boom, Vol over Crash</w:t>
            </w:r>
          </w:p>
        </w:tc>
        <w:tc>
          <w:tcPr>
            <w:tcW w:type="dxa" w:w="18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Variable + spike</w:t>
            </w:r>
          </w:p>
        </w:tc>
        <w:tc>
          <w:tcPr>
            <w:tcW w:type="dxa" w:w="13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1s / 2s</w:t>
            </w:r>
          </w:p>
        </w:tc>
        <w:tc>
          <w:tcPr>
            <w:tcW w:type="dxa" w:w="23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Trend + embedded volatility + spike</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Jump Indices</w:t>
            </w:r>
          </w:p>
        </w:tc>
        <w:tc>
          <w:tcPr>
            <w:tcW w:type="dxa" w:w="2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Jump 10, 25, 50, 75, 100</w:t>
            </w:r>
          </w:p>
        </w:tc>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 + jump events</w:t>
            </w:r>
          </w:p>
        </w:tc>
        <w:tc>
          <w:tcPr>
            <w:tcW w:type="dxa" w:w="13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2s</w:t>
            </w:r>
          </w:p>
        </w:tc>
        <w:tc>
          <w:tcPr>
            <w:tcW w:type="dxa" w:w="23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Normal walk + occasional large price jumps</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Step / Multi-Step Indices</w:t>
            </w:r>
          </w:p>
        </w:tc>
        <w:tc>
          <w:tcPr>
            <w:tcW w:type="dxa" w:w="2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Step Index, Skewed Step</w:t>
            </w:r>
          </w:p>
        </w:tc>
        <w:tc>
          <w:tcPr>
            <w:tcW w:type="dxa" w:w="18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Very low</w:t>
            </w:r>
          </w:p>
        </w:tc>
        <w:tc>
          <w:tcPr>
            <w:tcW w:type="dxa" w:w="13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2s</w:t>
            </w:r>
          </w:p>
        </w:tc>
        <w:tc>
          <w:tcPr>
            <w:tcW w:type="dxa" w:w="23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Fixed-increment steps, asymmetric probability</w:t>
            </w:r>
          </w:p>
        </w:tc>
      </w:tr>
    </w:tbl>
    <w:p>
      <w:pPr>
        <w:spacing w:before="80" w:after="80"/>
      </w:pPr>
      <w:r>
        <w:t xml:space="preserve"/>
      </w:r>
    </w:p>
    <w:p>
      <w:pPr>
        <w:pStyle w:val="Heading2"/>
        <w:spacing w:before="280" w:after="120"/>
      </w:pPr>
      <w:r>
        <w:rPr>
          <w:rFonts w:ascii="Arial" w:cs="Arial" w:eastAsia="Arial" w:hAnsi="Arial"/>
          <w:b/>
          <w:bCs/>
          <w:color w:val="2E2E2E"/>
          <w:sz w:val="26"/>
          <w:szCs w:val="26"/>
        </w:rPr>
        <w:t xml:space="preserve">1.3 Real Commodities &amp; Futures Markets Overview</w:t>
      </w:r>
    </w:p>
    <w:p>
      <w:pPr>
        <w:spacing w:before="60" w:after="80"/>
      </w:pPr>
      <w:r>
        <w:rPr>
          <w:rFonts w:ascii="Arial" w:cs="Arial" w:eastAsia="Arial" w:hAnsi="Arial"/>
          <w:b w:val="false"/>
          <w:bCs w:val="false"/>
          <w:color w:val="1A1A1A"/>
          <w:sz w:val="21"/>
          <w:szCs w:val="21"/>
        </w:rPr>
        <w:t xml:space="preserve">The global commodities and futures markets represent the deepest, most liquid real-world markets outside equities. Their price behaviours are driven by geopolitics, supply-demand fundamentals, weather, monetary policy, and institutional positioning.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200"/>
        <w:gridCol w:w="1960"/>
      </w:tblGrid>
      <w:tr>
        <w:trPr>
          <w:tblHeader/>
        </w:trPr>
        <w:tc>
          <w:tcPr>
            <w:tcW w:type="dxa" w:w="22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Commodity / Futures</w:t>
            </w:r>
          </w:p>
        </w:tc>
        <w:tc>
          <w:tcPr>
            <w:tcW w:type="dxa" w:w="16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Exchange</w:t>
            </w:r>
          </w:p>
        </w:tc>
        <w:tc>
          <w:tcPr>
            <w:tcW w:type="dxa" w:w="14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Contract Symbol</w:t>
            </w:r>
          </w:p>
        </w:tc>
        <w:tc>
          <w:tcPr>
            <w:tcW w:type="dxa" w:w="22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Daily Volume (Approx.)</w:t>
            </w:r>
          </w:p>
        </w:tc>
        <w:tc>
          <w:tcPr>
            <w:tcW w:type="dxa" w:w="196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Volatility Profile</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WTI Crude Oil</w:t>
            </w:r>
          </w:p>
        </w:tc>
        <w:tc>
          <w:tcPr>
            <w:tcW w:type="dxa" w:w="16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NYMEX / CME</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450K – 1M+ contracts/day</w:t>
            </w:r>
          </w:p>
        </w:tc>
        <w:tc>
          <w:tcPr>
            <w:tcW w:type="dxa" w:w="1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(25–45% annualised)</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Gold</w:t>
            </w:r>
          </w:p>
        </w:tc>
        <w:tc>
          <w:tcPr>
            <w:tcW w:type="dxa" w:w="16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COMEX / CME</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GC</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200K – 350K contracts/day</w:t>
            </w:r>
          </w:p>
        </w:tc>
        <w:tc>
          <w:tcPr>
            <w:tcW w:type="dxa" w:w="1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Moderate (12–20% annualised)</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Natural Gas</w:t>
            </w:r>
          </w:p>
        </w:tc>
        <w:tc>
          <w:tcPr>
            <w:tcW w:type="dxa" w:w="16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NYMEX</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NG</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150K – 300K contracts/day</w:t>
            </w:r>
          </w:p>
        </w:tc>
        <w:tc>
          <w:tcPr>
            <w:tcW w:type="dxa" w:w="1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Very High (50–80% seasonal)</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Silver</w:t>
            </w:r>
          </w:p>
        </w:tc>
        <w:tc>
          <w:tcPr>
            <w:tcW w:type="dxa" w:w="16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COMEX</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SI</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60K – 120K contracts/day</w:t>
            </w:r>
          </w:p>
        </w:tc>
        <w:tc>
          <w:tcPr>
            <w:tcW w:type="dxa" w:w="1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High (25–40% annualised)</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Copper</w:t>
            </w:r>
          </w:p>
        </w:tc>
        <w:tc>
          <w:tcPr>
            <w:tcW w:type="dxa" w:w="16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COMEX / LME</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HG / CA</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80K – 180K contracts/day</w:t>
            </w:r>
          </w:p>
        </w:tc>
        <w:tc>
          <w:tcPr>
            <w:tcW w:type="dxa" w:w="1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Moderate-High (20–35%)</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Aluminium</w:t>
            </w:r>
          </w:p>
        </w:tc>
        <w:tc>
          <w:tcPr>
            <w:tcW w:type="dxa" w:w="16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LME</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AH</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260K+ lots/day (LME)</w:t>
            </w:r>
          </w:p>
        </w:tc>
        <w:tc>
          <w:tcPr>
            <w:tcW w:type="dxa" w:w="1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Moderate (15–25% annualised)</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Wheat</w:t>
            </w:r>
          </w:p>
        </w:tc>
        <w:tc>
          <w:tcPr>
            <w:tcW w:type="dxa" w:w="16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CBOT</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ZW</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100K – 200K contracts/day</w:t>
            </w:r>
          </w:p>
        </w:tc>
        <w:tc>
          <w:tcPr>
            <w:tcW w:type="dxa" w:w="1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Moderate (20–30% seasonal)</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Corn / Maize</w:t>
            </w:r>
          </w:p>
        </w:tc>
        <w:tc>
          <w:tcPr>
            <w:tcW w:type="dxa" w:w="16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CBOT</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ZC</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300K+ contracts/day</w:t>
            </w:r>
          </w:p>
        </w:tc>
        <w:tc>
          <w:tcPr>
            <w:tcW w:type="dxa" w:w="1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Moderate (18–28% seasonal)</w:t>
            </w:r>
          </w:p>
        </w:tc>
      </w:tr>
      <w:tr>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Soybeans</w:t>
            </w:r>
          </w:p>
        </w:tc>
        <w:tc>
          <w:tcPr>
            <w:tcW w:type="dxa" w:w="16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CBOT</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ZS</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200K+ contracts/day</w:t>
            </w:r>
          </w:p>
        </w:tc>
        <w:tc>
          <w:tcPr>
            <w:tcW w:type="dxa" w:w="1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Moderate-High (20–35%)</w:t>
            </w:r>
          </w:p>
        </w:tc>
      </w:tr>
      <w:tr>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Sugar (No. 11)</w:t>
            </w:r>
          </w:p>
        </w:tc>
        <w:tc>
          <w:tcPr>
            <w:tcW w:type="dxa" w:w="16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ICE</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SB</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80K – 150K contracts/day</w:t>
            </w:r>
          </w:p>
        </w:tc>
        <w:tc>
          <w:tcPr>
            <w:tcW w:type="dxa" w:w="1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High (25–40% annualised)</w:t>
            </w:r>
          </w:p>
        </w:tc>
      </w:tr>
    </w:tbl>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Section 2: Performance &amp; Behavioural Analogues</w:t>
      </w:r>
    </w:p>
    <w:p>
      <w:pPr>
        <w:pStyle w:val="Heading2"/>
        <w:spacing w:before="280" w:after="120"/>
      </w:pPr>
      <w:r>
        <w:rPr>
          <w:rFonts w:ascii="Arial" w:cs="Arial" w:eastAsia="Arial" w:hAnsi="Arial"/>
          <w:b/>
          <w:bCs/>
          <w:color w:val="2E2E2E"/>
          <w:sz w:val="26"/>
          <w:szCs w:val="26"/>
        </w:rPr>
        <w:t xml:space="preserve">2.1 Methodology</w:t>
      </w:r>
    </w:p>
    <w:p>
      <w:pPr>
        <w:spacing w:before="60" w:after="80"/>
      </w:pPr>
      <w:r>
        <w:rPr>
          <w:rFonts w:ascii="Arial" w:cs="Arial" w:eastAsia="Arial" w:hAnsi="Arial"/>
          <w:b w:val="false"/>
          <w:bCs w:val="false"/>
          <w:color w:val="1A1A1A"/>
          <w:sz w:val="21"/>
          <w:szCs w:val="21"/>
        </w:rPr>
        <w:t xml:space="preserve">This mapping is based on structural volatility analysis, price action pattern comparison, and behavioural modelling. Since synthetic indices are not correlated to real markets, the analogues identified below are functional — meaning they share similar volatility levels, price movement characteristics, and applicable trading strategies — not statistical correlations.</w:t>
      </w:r>
    </w:p>
    <w:p>
      <w:pPr>
        <w:spacing w:before="80" w:after="80"/>
      </w:pPr>
      <w:r>
        <w:t xml:space="preserve"/>
      </w:r>
    </w:p>
    <w:p>
      <w:pPr>
        <w:spacing w:before="60" w:after="80"/>
      </w:pPr>
      <w:r>
        <w:rPr>
          <w:rFonts w:ascii="Arial" w:cs="Arial" w:eastAsia="Arial" w:hAnsi="Arial"/>
          <w:b w:val="false"/>
          <w:bCs w:val="false"/>
          <w:color w:val="1A1A1A"/>
          <w:sz w:val="21"/>
          <w:szCs w:val="21"/>
        </w:rPr>
        <w:t xml:space="preserve">Analogue scoring criteria used:</w:t>
      </w:r>
    </w:p>
    <w:p>
      <w:pPr>
        <w:pStyle w:val="ListParagraph"/>
        <w:numPr>
          <w:ilvl w:val="0"/>
          <w:numId w:val="2"/>
        </w:numPr>
        <w:spacing w:before="40" w:after="40"/>
      </w:pPr>
      <w:r>
        <w:rPr>
          <w:rFonts w:ascii="Arial" w:cs="Arial" w:eastAsia="Arial" w:hAnsi="Arial"/>
          <w:color w:val="1A1A1A"/>
          <w:sz w:val="21"/>
          <w:szCs w:val="21"/>
        </w:rPr>
        <w:t xml:space="preserve">Volatility magnitude match: Annualised or average daily range comparison.</w:t>
      </w:r>
    </w:p>
    <w:p>
      <w:pPr>
        <w:pStyle w:val="ListParagraph"/>
        <w:numPr>
          <w:ilvl w:val="0"/>
          <w:numId w:val="2"/>
        </w:numPr>
        <w:spacing w:before="40" w:after="40"/>
      </w:pPr>
      <w:r>
        <w:rPr>
          <w:rFonts w:ascii="Arial" w:cs="Arial" w:eastAsia="Arial" w:hAnsi="Arial"/>
          <w:color w:val="1A1A1A"/>
          <w:sz w:val="21"/>
          <w:szCs w:val="21"/>
        </w:rPr>
        <w:t xml:space="preserve">Price action structure: Trending, ranging, mean-reverting, or spike-driven behaviour.</w:t>
      </w:r>
    </w:p>
    <w:p>
      <w:pPr>
        <w:pStyle w:val="ListParagraph"/>
        <w:numPr>
          <w:ilvl w:val="0"/>
          <w:numId w:val="2"/>
        </w:numPr>
        <w:spacing w:before="40" w:after="40"/>
      </w:pPr>
      <w:r>
        <w:rPr>
          <w:rFonts w:ascii="Arial" w:cs="Arial" w:eastAsia="Arial" w:hAnsi="Arial"/>
          <w:color w:val="1A1A1A"/>
          <w:sz w:val="21"/>
          <w:szCs w:val="21"/>
        </w:rPr>
        <w:t xml:space="preserve">Strategy applicability: Similar strategies work effectively on both instruments.</w:t>
      </w:r>
    </w:p>
    <w:p>
      <w:pPr>
        <w:pStyle w:val="ListParagraph"/>
        <w:numPr>
          <w:ilvl w:val="0"/>
          <w:numId w:val="2"/>
        </w:numPr>
        <w:spacing w:before="40" w:after="40"/>
      </w:pPr>
      <w:r>
        <w:rPr>
          <w:rFonts w:ascii="Arial" w:cs="Arial" w:eastAsia="Arial" w:hAnsi="Arial"/>
          <w:color w:val="1A1A1A"/>
          <w:sz w:val="21"/>
          <w:szCs w:val="21"/>
        </w:rPr>
        <w:t xml:space="preserve">Psychological profile: How traders emotionally engage with each market.</w:t>
      </w:r>
    </w:p>
    <w:p>
      <w:pPr>
        <w:pStyle w:val="ListParagraph"/>
        <w:numPr>
          <w:ilvl w:val="0"/>
          <w:numId w:val="2"/>
        </w:numPr>
        <w:spacing w:before="40" w:after="40"/>
      </w:pPr>
      <w:r>
        <w:rPr>
          <w:rFonts w:ascii="Arial" w:cs="Arial" w:eastAsia="Arial" w:hAnsi="Arial"/>
          <w:color w:val="1A1A1A"/>
          <w:sz w:val="21"/>
          <w:szCs w:val="21"/>
        </w:rPr>
        <w:t xml:space="preserve">Risk-per-trade profile: Similar risk-per-pip / risk-per-tick dynamics.</w:t>
      </w:r>
    </w:p>
    <w:p>
      <w:pPr>
        <w:spacing w:before="80" w:after="80"/>
      </w:pPr>
      <w:r>
        <w:t xml:space="preserve"/>
      </w:r>
    </w:p>
    <w:p>
      <w:pPr>
        <w:pStyle w:val="Heading2"/>
        <w:spacing w:before="280" w:after="120"/>
      </w:pPr>
      <w:r>
        <w:rPr>
          <w:rFonts w:ascii="Arial" w:cs="Arial" w:eastAsia="Arial" w:hAnsi="Arial"/>
          <w:b/>
          <w:bCs/>
          <w:color w:val="2E2E2E"/>
          <w:sz w:val="26"/>
          <w:szCs w:val="26"/>
        </w:rPr>
        <w:t xml:space="preserve">2.2 Primary Analogue Mapping — Ranked List (Top 10)</w:t>
      </w:r>
    </w:p>
    <w:p>
      <w:pPr>
        <w:spacing w:before="80" w:after="80"/>
      </w:pPr>
      <w:r>
        <w:t xml:space="preserve"/>
      </w:r>
    </w:p>
    <w:p>
      <w:pPr>
        <w:spacing w:before="60" w:after="80"/>
      </w:pPr>
      <w:r>
        <w:rPr>
          <w:rFonts w:ascii="Arial" w:cs="Arial" w:eastAsia="Arial" w:hAnsi="Arial"/>
          <w:b w:val="false"/>
          <w:bCs w:val="false"/>
          <w:color w:val="1A1A1A"/>
          <w:sz w:val="21"/>
          <w:szCs w:val="21"/>
        </w:rPr>
        <w:t xml:space="preserve">The following table presents the 7–10 strongest synthetic-to-real-market analogues, ranked by functional similarity score:</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900"/>
        <w:gridCol w:w="3000"/>
        <w:gridCol w:w="960"/>
      </w:tblGrid>
      <w:tr>
        <w:trPr>
          <w:tblHeader/>
        </w:trPr>
        <w:tc>
          <w:tcPr>
            <w:tcW w:type="dxa" w:w="5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Rank</w:t>
            </w:r>
          </w:p>
        </w:tc>
        <w:tc>
          <w:tcPr>
            <w:tcW w:type="dxa" w:w="20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Synthetic Index</w:t>
            </w:r>
          </w:p>
        </w:tc>
        <w:tc>
          <w:tcPr>
            <w:tcW w:type="dxa" w:w="19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Real Market Analogue</w:t>
            </w:r>
          </w:p>
        </w:tc>
        <w:tc>
          <w:tcPr>
            <w:tcW w:type="dxa" w:w="30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Similarity Basis</w:t>
            </w:r>
          </w:p>
        </w:tc>
        <w:tc>
          <w:tcPr>
            <w:tcW w:type="dxa" w:w="96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Analogue Score</w:t>
            </w:r>
          </w:p>
        </w:tc>
      </w:tr>
      <w:tr>
        <w:tc>
          <w:tcPr>
            <w:tcW w:type="dxa" w:w="5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Volatility 25 / V25 (1s)</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Futures (GC)</w:t>
            </w:r>
          </w:p>
        </w:tc>
        <w:tc>
          <w:tcPr>
            <w:tcW w:type="dxa" w:w="3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Both exhibit moderate, steady volatility with trend characteristics. Gold's ~15-18% annualised vol matches V25 structural behaviour. Mean-reversion and trend-following strategies apply equally.</w:t>
            </w:r>
          </w:p>
        </w:tc>
        <w:tc>
          <w:tcPr>
            <w:tcW w:type="dxa" w:w="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Boom 300 / Crash 300</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WTI Crude Oil (CL)</w:t>
            </w:r>
          </w:p>
        </w:tc>
        <w:tc>
          <w:tcPr>
            <w:tcW w:type="dxa" w:w="3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Crude oil's sudden spike events on OPEC news, inventory data, and geopolitical shocks mirror the Boom/Crash spike-and-drift mechanics. Breakout + retracement strategies map directly.</w:t>
            </w:r>
          </w:p>
        </w:tc>
        <w:tc>
          <w:tcPr>
            <w:tcW w:type="dxa" w:w="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Volatility 50 / V50 (1s)</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Silver Futures (SI)</w:t>
            </w:r>
          </w:p>
        </w:tc>
        <w:tc>
          <w:tcPr>
            <w:tcW w:type="dxa" w:w="3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Silver's ~30-35% annualised vol and tendency for sharp directional moves between consolidation periods closely mirror V50 behaviour. Both reward momentum and breakout setups.</w:t>
            </w:r>
          </w:p>
        </w:tc>
        <w:tc>
          <w:tcPr>
            <w:tcW w:type="dxa" w:w="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Range Break 100 (RB100)</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Wheat Futures (ZW)</w:t>
            </w:r>
          </w:p>
        </w:tc>
        <w:tc>
          <w:tcPr>
            <w:tcW w:type="dxa" w:w="3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Wheat's seasonal range-and-break structure — consolidation during off-season, sharp breakouts during planting/harvest — maps well to RB100's range-bound-then-breakout mechanics.</w:t>
            </w:r>
          </w:p>
        </w:tc>
        <w:tc>
          <w:tcPr>
            <w:tcW w:type="dxa" w:w="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Volatility 10 / V10 (1s)</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Aluminium Futures (LME)</w:t>
            </w:r>
          </w:p>
        </w:tc>
        <w:tc>
          <w:tcPr>
            <w:tcW w:type="dxa" w:w="3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Aluminium's relatively subdued volatility (~15-22% annualised) and steady industrial-demand-driven price action aligns with V10's slow, consistent market behaviour.</w:t>
            </w:r>
          </w:p>
        </w:tc>
        <w:tc>
          <w:tcPr>
            <w:tcW w:type="dxa" w:w="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Jump Indices (J25 / J50)</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Natural Gas Futures (NG)</w:t>
            </w:r>
          </w:p>
        </w:tc>
        <w:tc>
          <w:tcPr>
            <w:tcW w:type="dxa" w:w="3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Natural gas is notorious for sudden, outsized price jumps driven by weather/storage data — the single most analogous real-world counterpart to synthetic Jump Index behaviour.</w:t>
            </w:r>
          </w:p>
        </w:tc>
        <w:tc>
          <w:tcPr>
            <w:tcW w:type="dxa" w:w="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Drift Switch Indices (DS10/20)</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Corn Futures (ZC)</w:t>
            </w:r>
          </w:p>
        </w:tc>
        <w:tc>
          <w:tcPr>
            <w:tcW w:type="dxa" w:w="3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Corn transitions seasonally between clear trending (planting/growing) and lateral (post-harvest) phases, mirroring the regime-switching mechanics of Drift Switch indices.</w:t>
            </w:r>
          </w:p>
        </w:tc>
        <w:tc>
          <w:tcPr>
            <w:tcW w:type="dxa" w:w="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Hybrid Indices (Vol over Boom)</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Sugar No. 11 (SB)</w:t>
            </w:r>
          </w:p>
        </w:tc>
        <w:tc>
          <w:tcPr>
            <w:tcW w:type="dxa" w:w="3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Sugar combines a directional drift with embedded volatility spikes driven by weather/policy. Hybrid indices replicate this structure of directional bias plus occasional sharp moves.</w:t>
            </w:r>
          </w:p>
        </w:tc>
        <w:tc>
          <w:tcPr>
            <w:tcW w:type="dxa" w:w="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Volatility 75 / V75 (1s)</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Soybeans Futures (ZS)</w:t>
            </w:r>
          </w:p>
        </w:tc>
        <w:tc>
          <w:tcPr>
            <w:tcW w:type="dxa" w:w="3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Soybeans during growing season can exhibit very high volatility (30-40%+) driven by weather shocks. V75's aggressive, fast-moving character mirrors soybean futures at peak volatility.</w:t>
            </w:r>
          </w:p>
        </w:tc>
        <w:tc>
          <w:tcPr>
            <w:tcW w:type="dxa" w:w="9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5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Boom 1000 / Crash 1000</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Copper Futures (HG)</w:t>
            </w:r>
          </w:p>
        </w:tc>
        <w:tc>
          <w:tcPr>
            <w:tcW w:type="dxa" w:w="3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Copper's long base-building periods punctuated by sharp macro-driven breakouts (China demand, supply disruptions) loosely resembles the low-frequency spike dynamics of B/C 1000.</w:t>
            </w:r>
          </w:p>
        </w:tc>
        <w:tc>
          <w:tcPr>
            <w:tcW w:type="dxa" w:w="9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
            </w:r>
          </w:p>
        </w:tc>
      </w:tr>
    </w:tbl>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Section 3: Deep-Dive Analysis — Top 5 Analogues</w:t>
      </w:r>
    </w:p>
    <w:p>
      <w:pPr>
        <w:pStyle w:val="Heading2"/>
        <w:spacing w:before="280" w:after="120"/>
      </w:pPr>
      <w:r>
        <w:rPr>
          <w:rFonts w:ascii="Arial" w:cs="Arial" w:eastAsia="Arial" w:hAnsi="Arial"/>
          <w:b/>
          <w:bCs/>
          <w:color w:val="2E2E2E"/>
          <w:sz w:val="26"/>
          <w:szCs w:val="26"/>
        </w:rPr>
        <w:t xml:space="preserve">3.1 V25 ↔ Gold Futures (GC) — TIER 1 MATCH</w:t>
      </w:r>
    </w:p>
    <w:p>
      <w:pPr>
        <w:spacing w:before="60" w:after="80"/>
      </w:pPr>
      <w:r>
        <w:rPr>
          <w:rFonts w:ascii="Arial" w:cs="Arial" w:eastAsia="Arial" w:hAnsi="Arial"/>
          <w:b w:val="false"/>
          <w:bCs w:val="false"/>
          <w:color w:val="1A1A1A"/>
          <w:sz w:val="21"/>
          <w:szCs w:val="21"/>
        </w:rPr>
        <w:t xml:space="preserve">Gold occupies a unique position in financial markets as a simultaneously trending and range-bound asset. Its volatility is characteristically moderate — not wild enough to be erratic, not quiet enough to be a dead market. This mirrors Volatility 25 almost precisely.</w:t>
      </w:r>
    </w:p>
    <w:p>
      <w:pPr>
        <w:spacing w:before="80" w:after="80"/>
      </w:pPr>
      <w:r>
        <w:t xml:space="preserve"/>
      </w:r>
    </w:p>
    <w:p>
      <w:pPr>
        <w:spacing w:before="60" w:after="80"/>
      </w:pPr>
      <w:r>
        <w:rPr>
          <w:rFonts w:ascii="Arial" w:cs="Arial" w:eastAsia="Arial" w:hAnsi="Arial"/>
          <w:b w:val="false"/>
          <w:bCs w:val="false"/>
          <w:color w:val="1A1A1A"/>
          <w:sz w:val="21"/>
          <w:szCs w:val="21"/>
        </w:rPr>
        <w:t xml:space="preserve">Gold's annualised volatility has historically ranged between 12% and 22%, with 15–18% being the most common regime. Deriv's V25 is engineered to maintain 25% annualised vol — slightly higher, accounting for the fact that gold's spot vol understates its futures micro-volatility during active sessions.</w:t>
      </w:r>
    </w:p>
    <w:p>
      <w:pPr>
        <w:spacing w:before="80" w:after="80"/>
      </w:pPr>
      <w:r>
        <w:t xml:space="preserve"/>
      </w:r>
    </w:p>
    <w:p>
      <w:pPr>
        <w:spacing w:before="60" w:after="80"/>
      </w:pPr>
      <w:r>
        <w:rPr>
          <w:rFonts w:ascii="Arial" w:cs="Arial" w:eastAsia="Arial" w:hAnsi="Arial"/>
          <w:b w:val="false"/>
          <w:bCs w:val="false"/>
          <w:color w:val="1A1A1A"/>
          <w:sz w:val="21"/>
          <w:szCs w:val="21"/>
        </w:rPr>
        <w:t xml:space="preserve">Key shared characteristics:</w:t>
      </w:r>
    </w:p>
    <w:p>
      <w:pPr>
        <w:pStyle w:val="ListParagraph"/>
        <w:numPr>
          <w:ilvl w:val="0"/>
          <w:numId w:val="2"/>
        </w:numPr>
        <w:spacing w:before="40" w:after="40"/>
      </w:pPr>
      <w:r>
        <w:rPr>
          <w:rFonts w:ascii="Arial" w:cs="Arial" w:eastAsia="Arial" w:hAnsi="Arial"/>
          <w:color w:val="1A1A1A"/>
          <w:sz w:val="21"/>
          <w:szCs w:val="21"/>
        </w:rPr>
        <w:t xml:space="preserve">Trend persistence: Both exhibit multi-hour trending phases that reward positional holding.</w:t>
      </w:r>
    </w:p>
    <w:p>
      <w:pPr>
        <w:pStyle w:val="ListParagraph"/>
        <w:numPr>
          <w:ilvl w:val="0"/>
          <w:numId w:val="2"/>
        </w:numPr>
        <w:spacing w:before="40" w:after="40"/>
      </w:pPr>
      <w:r>
        <w:rPr>
          <w:rFonts w:ascii="Arial" w:cs="Arial" w:eastAsia="Arial" w:hAnsi="Arial"/>
          <w:color w:val="1A1A1A"/>
          <w:sz w:val="21"/>
          <w:szCs w:val="21"/>
        </w:rPr>
        <w:t xml:space="preserve">Clean technical structure: Support/resistance, moving average crossovers, and Bollinger Bands perform reliably on both.</w:t>
      </w:r>
    </w:p>
    <w:p>
      <w:pPr>
        <w:pStyle w:val="ListParagraph"/>
        <w:numPr>
          <w:ilvl w:val="0"/>
          <w:numId w:val="2"/>
        </w:numPr>
        <w:spacing w:before="40" w:after="40"/>
      </w:pPr>
      <w:r>
        <w:rPr>
          <w:rFonts w:ascii="Arial" w:cs="Arial" w:eastAsia="Arial" w:hAnsi="Arial"/>
          <w:color w:val="1A1A1A"/>
          <w:sz w:val="21"/>
          <w:szCs w:val="21"/>
        </w:rPr>
        <w:t xml:space="preserve">Moderate pip/point values: Neither instrument requires microscopic stop-losses or creates runaway P&amp;L swings on standard position sizes.</w:t>
      </w:r>
    </w:p>
    <w:p>
      <w:pPr>
        <w:pStyle w:val="ListParagraph"/>
        <w:numPr>
          <w:ilvl w:val="0"/>
          <w:numId w:val="2"/>
        </w:numPr>
        <w:spacing w:before="40" w:after="40"/>
      </w:pPr>
      <w:r>
        <w:rPr>
          <w:rFonts w:ascii="Arial" w:cs="Arial" w:eastAsia="Arial" w:hAnsi="Arial"/>
          <w:color w:val="1A1A1A"/>
          <w:sz w:val="21"/>
          <w:szCs w:val="21"/>
        </w:rPr>
        <w:t xml:space="preserve">Safe-haven premium: Gold's perceived stability translates to a psychologically 'comfortable' volatility regime — exactly the appeal of V25 for strategy development.</w:t>
      </w:r>
    </w:p>
    <w:p>
      <w:pPr>
        <w:pStyle w:val="ListParagraph"/>
        <w:numPr>
          <w:ilvl w:val="0"/>
          <w:numId w:val="2"/>
        </w:numPr>
        <w:spacing w:before="40" w:after="40"/>
      </w:pPr>
      <w:r>
        <w:rPr>
          <w:rFonts w:ascii="Arial" w:cs="Arial" w:eastAsia="Arial" w:hAnsi="Arial"/>
          <w:color w:val="1A1A1A"/>
          <w:sz w:val="21"/>
          <w:szCs w:val="21"/>
        </w:rPr>
        <w:t xml:space="preserve">Optimal indicator settings (per 2025 research): Gold futures respond best to 50MA / 1.5SD Bollinger Band configurations — directly applicable to V25 chart analysis.</w:t>
      </w:r>
    </w:p>
    <w:p>
      <w:pPr>
        <w:spacing w:before="80" w:after="80"/>
      </w:pPr>
      <w:r>
        <w:t xml:space="preserve"/>
      </w:r>
    </w:p>
    <w:p>
      <w:pPr>
        <w:pStyle w:val="Heading2"/>
        <w:spacing w:before="280" w:after="120"/>
      </w:pPr>
      <w:r>
        <w:rPr>
          <w:rFonts w:ascii="Arial" w:cs="Arial" w:eastAsia="Arial" w:hAnsi="Arial"/>
          <w:b/>
          <w:bCs/>
          <w:color w:val="2E2E2E"/>
          <w:sz w:val="26"/>
          <w:szCs w:val="26"/>
        </w:rPr>
        <w:t xml:space="preserve">3.2 Boom/Crash 300 ↔ WTI Crude Oil (CL) — TIER 1 MATCH</w:t>
      </w:r>
    </w:p>
    <w:p>
      <w:pPr>
        <w:spacing w:before="60" w:after="80"/>
      </w:pPr>
      <w:r>
        <w:rPr>
          <w:rFonts w:ascii="Arial" w:cs="Arial" w:eastAsia="Arial" w:hAnsi="Arial"/>
          <w:b w:val="false"/>
          <w:bCs w:val="false"/>
          <w:color w:val="1A1A1A"/>
          <w:sz w:val="21"/>
          <w:szCs w:val="21"/>
        </w:rPr>
        <w:t xml:space="preserve">WTI Crude Oil is the world's most liquid commodity futures contract, trading over 450,000 to 1 million contracts daily on NYMEX. Its price behaviour is characterised by extended drift periods punctuated by sudden, event-driven spikes — the structural DNA of Boom and Crash indices.</w:t>
      </w:r>
    </w:p>
    <w:p>
      <w:pPr>
        <w:spacing w:before="80" w:after="80"/>
      </w:pPr>
      <w:r>
        <w:t xml:space="preserve"/>
      </w:r>
    </w:p>
    <w:p>
      <w:pPr>
        <w:spacing w:before="60" w:after="80"/>
      </w:pPr>
      <w:r>
        <w:rPr>
          <w:rFonts w:ascii="Arial" w:cs="Arial" w:eastAsia="Arial" w:hAnsi="Arial"/>
          <w:b w:val="false"/>
          <w:bCs w:val="false"/>
          <w:color w:val="1A1A1A"/>
          <w:sz w:val="21"/>
          <w:szCs w:val="21"/>
        </w:rPr>
        <w:t xml:space="preserve">Crude oil's spike triggers — OPEC announcements, inventory reports (EIA weekly data), geopolitical disruptions, and demand shocks — create the same asymmetric price move pattern that Boom 300 and Crash 300 simulate algorithmically. In both markets, the dominant strategy involves positioning for the drift and managing exposure around the spike.</w:t>
      </w:r>
    </w:p>
    <w:p>
      <w:pPr>
        <w:spacing w:before="80" w:after="80"/>
      </w:pPr>
      <w:r>
        <w:t xml:space="preserve"/>
      </w:r>
    </w:p>
    <w:p>
      <w:pPr>
        <w:spacing w:before="60" w:after="80"/>
      </w:pPr>
      <w:r>
        <w:rPr>
          <w:rFonts w:ascii="Arial" w:cs="Arial" w:eastAsia="Arial" w:hAnsi="Arial"/>
          <w:b w:val="false"/>
          <w:bCs w:val="false"/>
          <w:color w:val="1A1A1A"/>
          <w:sz w:val="21"/>
          <w:szCs w:val="21"/>
        </w:rPr>
        <w:t xml:space="preserve">Behavioural parallels:</w:t>
      </w:r>
    </w:p>
    <w:p>
      <w:pPr>
        <w:pStyle w:val="ListParagraph"/>
        <w:numPr>
          <w:ilvl w:val="0"/>
          <w:numId w:val="2"/>
        </w:numPr>
        <w:spacing w:before="40" w:after="40"/>
      </w:pPr>
      <w:r>
        <w:rPr>
          <w:rFonts w:ascii="Arial" w:cs="Arial" w:eastAsia="Arial" w:hAnsi="Arial"/>
          <w:color w:val="1A1A1A"/>
          <w:sz w:val="21"/>
          <w:szCs w:val="21"/>
        </w:rPr>
        <w:t xml:space="preserve">Post-spike retracement: After a Crash 300 spike downward, price recovers steadily — mimicking oil's bounce after a demand-shock selloff.</w:t>
      </w:r>
    </w:p>
    <w:p>
      <w:pPr>
        <w:pStyle w:val="ListParagraph"/>
        <w:numPr>
          <w:ilvl w:val="0"/>
          <w:numId w:val="2"/>
        </w:numPr>
        <w:spacing w:before="40" w:after="40"/>
      </w:pPr>
      <w:r>
        <w:rPr>
          <w:rFonts w:ascii="Arial" w:cs="Arial" w:eastAsia="Arial" w:hAnsi="Arial"/>
          <w:color w:val="1A1A1A"/>
          <w:sz w:val="21"/>
          <w:szCs w:val="21"/>
        </w:rPr>
        <w:t xml:space="preserve">Pre-spike build: Both markets show compression and range narrowing before major directional events.</w:t>
      </w:r>
    </w:p>
    <w:p>
      <w:pPr>
        <w:pStyle w:val="ListParagraph"/>
        <w:numPr>
          <w:ilvl w:val="0"/>
          <w:numId w:val="2"/>
        </w:numPr>
        <w:spacing w:before="40" w:after="40"/>
      </w:pPr>
      <w:r>
        <w:rPr>
          <w:rFonts w:ascii="Arial" w:cs="Arial" w:eastAsia="Arial" w:hAnsi="Arial"/>
          <w:color w:val="1A1A1A"/>
          <w:sz w:val="21"/>
          <w:szCs w:val="21"/>
        </w:rPr>
        <w:t xml:space="preserve">Spread during spikes: Crude oil widens significantly during event-driven moves; Boom/Crash indices similarly see execution complexity during spike ticks.</w:t>
      </w:r>
    </w:p>
    <w:p>
      <w:pPr>
        <w:pStyle w:val="ListParagraph"/>
        <w:numPr>
          <w:ilvl w:val="0"/>
          <w:numId w:val="2"/>
        </w:numPr>
        <w:spacing w:before="40" w:after="40"/>
      </w:pPr>
      <w:r>
        <w:rPr>
          <w:rFonts w:ascii="Arial" w:cs="Arial" w:eastAsia="Arial" w:hAnsi="Arial"/>
          <w:color w:val="1A1A1A"/>
          <w:sz w:val="21"/>
          <w:szCs w:val="21"/>
        </w:rPr>
        <w:t xml:space="preserve">Volume-weighted entries: Traders in both markets benefit from entering after confirmation rather than anticipating exact spike timing.</w:t>
      </w:r>
    </w:p>
    <w:p>
      <w:pPr>
        <w:spacing w:before="80" w:after="80"/>
      </w:pPr>
      <w:r>
        <w:t xml:space="preserve"/>
      </w:r>
    </w:p>
    <w:p>
      <w:pPr>
        <w:pStyle w:val="Heading2"/>
        <w:spacing w:before="280" w:after="120"/>
      </w:pPr>
      <w:r>
        <w:rPr>
          <w:rFonts w:ascii="Arial" w:cs="Arial" w:eastAsia="Arial" w:hAnsi="Arial"/>
          <w:b/>
          <w:bCs/>
          <w:color w:val="2E2E2E"/>
          <w:sz w:val="26"/>
          <w:szCs w:val="26"/>
        </w:rPr>
        <w:t xml:space="preserve">3.3 V50 ↔ Silver Futures (SI) — TIER 2 MATCH</w:t>
      </w:r>
    </w:p>
    <w:p>
      <w:pPr>
        <w:spacing w:before="60" w:after="80"/>
      </w:pPr>
      <w:r>
        <w:rPr>
          <w:rFonts w:ascii="Arial" w:cs="Arial" w:eastAsia="Arial" w:hAnsi="Arial"/>
          <w:b w:val="false"/>
          <w:bCs w:val="false"/>
          <w:color w:val="1A1A1A"/>
          <w:sz w:val="21"/>
          <w:szCs w:val="21"/>
        </w:rPr>
        <w:t xml:space="preserve">Silver occupies a dual role as both a precious and industrial metal, creating a more volatile profile than gold. Its price often moves in the same direction as gold but with amplified magnitude — making it a natural V50 analogue where gold maps to V25.</w:t>
      </w:r>
    </w:p>
    <w:p>
      <w:pPr>
        <w:spacing w:before="80" w:after="80"/>
      </w:pPr>
      <w:r>
        <w:t xml:space="preserve"/>
      </w:r>
    </w:p>
    <w:p>
      <w:pPr>
        <w:spacing w:before="60" w:after="80"/>
      </w:pPr>
      <w:r>
        <w:rPr>
          <w:rFonts w:ascii="Arial" w:cs="Arial" w:eastAsia="Arial" w:hAnsi="Arial"/>
          <w:b w:val="false"/>
          <w:bCs w:val="false"/>
          <w:color w:val="1A1A1A"/>
          <w:sz w:val="21"/>
          <w:szCs w:val="21"/>
        </w:rPr>
        <w:t xml:space="preserve">The silver-to-gold volatility ratio has historically been 1.5x–2.5x, aligning with the V50-to-V25 ratio built into Deriv's index architecture. This suggests that traders comfortable with V25 strategies who want to step up risk can use V50 — just as commodities traders move from gold to silver for higher volatility exposure with the same directional framework.</w:t>
      </w:r>
    </w:p>
    <w:p>
      <w:pPr>
        <w:spacing w:before="80" w:after="80"/>
      </w:pPr>
      <w:r>
        <w:t xml:space="preserve"/>
      </w:r>
    </w:p>
    <w:p>
      <w:pPr>
        <w:pStyle w:val="Heading2"/>
        <w:spacing w:before="280" w:after="120"/>
      </w:pPr>
      <w:r>
        <w:rPr>
          <w:rFonts w:ascii="Arial" w:cs="Arial" w:eastAsia="Arial" w:hAnsi="Arial"/>
          <w:b/>
          <w:bCs/>
          <w:color w:val="2E2E2E"/>
          <w:sz w:val="26"/>
          <w:szCs w:val="26"/>
        </w:rPr>
        <w:t xml:space="preserve">3.4 Range Break 100 ↔ Wheat Futures (ZW) — TIER 2 MATCH</w:t>
      </w:r>
    </w:p>
    <w:p>
      <w:pPr>
        <w:spacing w:before="60" w:after="80"/>
      </w:pPr>
      <w:r>
        <w:rPr>
          <w:rFonts w:ascii="Arial" w:cs="Arial" w:eastAsia="Arial" w:hAnsi="Arial"/>
          <w:b w:val="false"/>
          <w:bCs w:val="false"/>
          <w:color w:val="1A1A1A"/>
          <w:sz w:val="21"/>
          <w:szCs w:val="21"/>
        </w:rPr>
        <w:t xml:space="preserve">Wheat futures exhibit a strongly seasonal character: extended low-volatility consolidation during off-planting periods, followed by sharp directional breakouts around crop reports, drought alerts, and harvest windows. This seasonal range-and-break pattern directly mirrors the algorithmic mechanics of Deriv's Range Break 100 index.</w:t>
      </w:r>
    </w:p>
    <w:p>
      <w:pPr>
        <w:spacing w:before="80" w:after="80"/>
      </w:pPr>
      <w:r>
        <w:t xml:space="preserve"/>
      </w:r>
    </w:p>
    <w:p>
      <w:pPr>
        <w:spacing w:before="60" w:after="80"/>
      </w:pPr>
      <w:r>
        <w:rPr>
          <w:rFonts w:ascii="Arial" w:cs="Arial" w:eastAsia="Arial" w:hAnsi="Arial"/>
          <w:b w:val="false"/>
          <w:bCs w:val="false"/>
          <w:color w:val="1A1A1A"/>
          <w:sz w:val="21"/>
          <w:szCs w:val="21"/>
        </w:rPr>
        <w:t xml:space="preserve">Range Break indices produce price action that oscillates within defined boundaries and then executes clean breakouts to new ranges — on average every 100 or 200 boundary hits. This deterministic breakout frequency parallels wheat's quarterly cycle of news-driven range expansions. Both markets reward patience combined with breakout execution discipline.</w:t>
      </w:r>
    </w:p>
    <w:p>
      <w:pPr>
        <w:spacing w:before="80" w:after="80"/>
      </w:pPr>
      <w:r>
        <w:t xml:space="preserve"/>
      </w:r>
    </w:p>
    <w:p>
      <w:pPr>
        <w:pStyle w:val="Heading2"/>
        <w:spacing w:before="280" w:after="120"/>
      </w:pPr>
      <w:r>
        <w:rPr>
          <w:rFonts w:ascii="Arial" w:cs="Arial" w:eastAsia="Arial" w:hAnsi="Arial"/>
          <w:b/>
          <w:bCs/>
          <w:color w:val="2E2E2E"/>
          <w:sz w:val="26"/>
          <w:szCs w:val="26"/>
        </w:rPr>
        <w:t xml:space="preserve">3.5 Jump Indices ↔ Natural Gas (NG) — TIER 2 MATCH</w:t>
      </w:r>
    </w:p>
    <w:p>
      <w:pPr>
        <w:spacing w:before="60" w:after="80"/>
      </w:pPr>
      <w:r>
        <w:rPr>
          <w:rFonts w:ascii="Arial" w:cs="Arial" w:eastAsia="Arial" w:hAnsi="Arial"/>
          <w:b w:val="false"/>
          <w:bCs w:val="false"/>
          <w:color w:val="1A1A1A"/>
          <w:sz w:val="21"/>
          <w:szCs w:val="21"/>
        </w:rPr>
        <w:t xml:space="preserve">Natural gas is the most unpredictable major commodity, with annualised volatility regularly exceeding 50–80% during winter storage periods. Its price is famous for sudden, outsized moves driven by weather forecasts, storage level deviations, and LNG export dynamics. No real-world commodity instrument better mirrors the Jump Index's occasional-but-violent price displacement events.</w:t>
      </w:r>
    </w:p>
    <w:p>
      <w:pPr>
        <w:spacing w:before="80" w:after="80"/>
      </w:pPr>
      <w:r>
        <w:t xml:space="preserve"/>
      </w:r>
    </w:p>
    <w:p>
      <w:pPr>
        <w:spacing w:before="60" w:after="80"/>
      </w:pPr>
      <w:r>
        <w:rPr>
          <w:rFonts w:ascii="Arial" w:cs="Arial" w:eastAsia="Arial" w:hAnsi="Arial"/>
          <w:b w:val="false"/>
          <w:bCs w:val="false"/>
          <w:color w:val="1A1A1A"/>
          <w:sz w:val="21"/>
          <w:szCs w:val="21"/>
        </w:rPr>
        <w:t xml:space="preserve">Jump Indices generate 'normal' price movement 95%+ of the time, with discrete random jump events of 5–20x normal magnitude. Natural gas behaves identically in structure: most days trade in a tight range, but certain report or weather events trigger massive dislocations that can move the market 10–30% in hours.</w:t>
      </w:r>
    </w:p>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Section 4: Strategy Transferability Matrix</w:t>
      </w:r>
    </w:p>
    <w:p>
      <w:pPr>
        <w:spacing w:before="60" w:after="80"/>
      </w:pPr>
      <w:r>
        <w:rPr>
          <w:rFonts w:ascii="Arial" w:cs="Arial" w:eastAsia="Arial" w:hAnsi="Arial"/>
          <w:b w:val="false"/>
          <w:bCs w:val="false"/>
          <w:color w:val="1A1A1A"/>
          <w:sz w:val="21"/>
          <w:szCs w:val="21"/>
        </w:rPr>
        <w:t xml:space="preserve">The following matrix maps which trading strategies are transferable between synthetic indices and their commodity/futures analogues: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000"/>
        <w:gridCol w:w="3260"/>
      </w:tblGrid>
      <w:tr>
        <w:trPr>
          <w:tblHeader/>
        </w:trPr>
        <w:tc>
          <w:tcPr>
            <w:tcW w:type="dxa" w:w="21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Strategy Type</w:t>
            </w:r>
          </w:p>
        </w:tc>
        <w:tc>
          <w:tcPr>
            <w:tcW w:type="dxa" w:w="20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Works on Synthetic Analogue</w:t>
            </w:r>
          </w:p>
        </w:tc>
        <w:tc>
          <w:tcPr>
            <w:tcW w:type="dxa" w:w="20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Works on Real Commodity</w:t>
            </w:r>
          </w:p>
        </w:tc>
        <w:tc>
          <w:tcPr>
            <w:tcW w:type="dxa" w:w="326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Transfer Notes</w:t>
            </w:r>
          </w:p>
        </w:tc>
      </w:tr>
      <w:tr>
        <w:tc>
          <w:tcPr>
            <w:tcW w:type="dxa" w:w="21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 Crossover (5/13)</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V25, V50, V75 (1s)</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(GC), Silver (SI)</w:t>
            </w:r>
          </w:p>
        </w:tc>
        <w:tc>
          <w:tcPr>
            <w:tcW w:type="dxa" w:w="3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 transfer. Adjust lookback period to account for real-market session gaps.</w:t>
            </w:r>
          </w:p>
        </w:tc>
      </w:tr>
      <w:tr>
        <w:tc>
          <w:tcPr>
            <w:tcW w:type="dxa" w:w="21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Bollinger Band Mean Reversion</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V10, V25, RB100</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Gold (GC), Wheat (ZW)</w:t>
            </w:r>
          </w:p>
        </w:tc>
        <w:tc>
          <w:tcPr>
            <w:tcW w:type="dxa" w:w="3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Gold: 50MA/1.5SD optimal. V25: 20MA/2SD. Minor recalibration needed.</w:t>
            </w:r>
          </w:p>
        </w:tc>
      </w:tr>
      <w:tr>
        <w:tc>
          <w:tcPr>
            <w:tcW w:type="dxa" w:w="21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Spike Anticipation / Pre-Spike Load</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Boom 300, Crash 300</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WTI Crude (CL)</w:t>
            </w:r>
          </w:p>
        </w:tc>
        <w:tc>
          <w:tcPr>
            <w:tcW w:type="dxa" w:w="3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Works in both. Add fundamental triggers (EIA, OPEC) on real crude side.</w:t>
            </w:r>
          </w:p>
        </w:tc>
      </w:tr>
      <w:tr>
        <w:tc>
          <w:tcPr>
            <w:tcW w:type="dxa" w:w="21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Post-Spike Fade / Retracement</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Boom 500, Crash 1000</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WTI Crude, Natural Gas</w:t>
            </w:r>
          </w:p>
        </w:tc>
        <w:tc>
          <w:tcPr>
            <w:tcW w:type="dxa" w:w="3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High match. Key: confirm spike completion before entry on both.</w:t>
            </w:r>
          </w:p>
        </w:tc>
      </w:tr>
      <w:tr>
        <w:tc>
          <w:tcPr>
            <w:tcW w:type="dxa" w:w="21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Trend-Following (H1/H4)</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Drift Switch 10/20</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Corn (ZC), Soybeans (ZS)</w:t>
            </w:r>
          </w:p>
        </w:tc>
        <w:tc>
          <w:tcPr>
            <w:tcW w:type="dxa" w:w="3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Works well. Real markets need fundamental filter; synthetic does not.</w:t>
            </w:r>
          </w:p>
        </w:tc>
      </w:tr>
      <w:tr>
        <w:tc>
          <w:tcPr>
            <w:tcW w:type="dxa" w:w="21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Range Breakout Entry</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Range Break 100/200</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Wheat (ZW), Corn (ZC)</w:t>
            </w:r>
          </w:p>
        </w:tc>
        <w:tc>
          <w:tcPr>
            <w:tcW w:type="dxa" w:w="3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Strong transfer. Real market: use Bollinger squeeze + volume confirmation.</w:t>
            </w:r>
          </w:p>
        </w:tc>
      </w:tr>
      <w:tr>
        <w:tc>
          <w:tcPr>
            <w:tcW w:type="dxa" w:w="21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Scalping (M1/M5)</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V10 (1s), V15 (1s)</w:t>
            </w:r>
          </w:p>
        </w:tc>
        <w:tc>
          <w:tcPr>
            <w:tcW w:type="dxa" w:w="20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Natural Gas spot, Silver mini</w:t>
            </w:r>
          </w:p>
        </w:tc>
        <w:tc>
          <w:tcPr>
            <w:tcW w:type="dxa" w:w="3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Works. Wider spreads on real instruments require larger min target (R:R 1:2+).</w:t>
            </w:r>
          </w:p>
        </w:tc>
      </w:tr>
      <w:tr>
        <w:tc>
          <w:tcPr>
            <w:tcW w:type="dxa" w:w="21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Breakout + Retracement (2-leg)</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Boom 1000, Jump 25/50</w:t>
            </w:r>
          </w:p>
        </w:tc>
        <w:tc>
          <w:tcPr>
            <w:tcW w:type="dxa" w:w="20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Copper (HG)</w:t>
            </w:r>
          </w:p>
        </w:tc>
        <w:tc>
          <w:tcPr>
            <w:tcW w:type="dxa" w:w="3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Transfer with caution. Real copper breakouts are slower and need confirmation.</w:t>
            </w:r>
          </w:p>
        </w:tc>
      </w:tr>
    </w:tbl>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Section 5: Risk &amp; Structural Differences</w:t>
      </w:r>
    </w:p>
    <w:p>
      <w:pPr>
        <w:pStyle w:val="Heading2"/>
        <w:spacing w:before="280" w:after="120"/>
      </w:pPr>
      <w:r>
        <w:rPr>
          <w:rFonts w:ascii="Arial" w:cs="Arial" w:eastAsia="Arial" w:hAnsi="Arial"/>
          <w:b/>
          <w:bCs/>
          <w:color w:val="2E2E2E"/>
          <w:sz w:val="26"/>
          <w:szCs w:val="26"/>
        </w:rPr>
        <w:t xml:space="preserve">5.1 Key Structural Differences to Manage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22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Synthetic Indices</w:t>
            </w:r>
          </w:p>
        </w:tc>
        <w:tc>
          <w:tcPr>
            <w:tcW w:type="dxa" w:w="22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Commodities / Futures</w:t>
            </w:r>
          </w:p>
        </w:tc>
        <w:tc>
          <w:tcPr>
            <w:tcW w:type="dxa" w:w="316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Risk Implication</w:t>
            </w:r>
          </w:p>
        </w:tc>
      </w:tr>
      <w:tr>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Hours</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24/7 continuous</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Exchange hours + after-hours gaps</w:t>
            </w:r>
          </w:p>
        </w:tc>
        <w:tc>
          <w:tcPr>
            <w:tcW w:type="dxa" w:w="31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Real futures have overnight gap risk; synthetics do not.</w:t>
            </w:r>
          </w:p>
        </w:tc>
      </w:tr>
      <w:tr>
        <w:tc>
          <w:tcPr>
            <w:tcW w:type="dxa" w:w="18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Event Risk</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None — algorithm only</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News, OPEC, EIA, weather reports</w:t>
            </w:r>
          </w:p>
        </w:tc>
        <w:tc>
          <w:tcPr>
            <w:tcW w:type="dxa" w:w="31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Real commodities can gap 5–15% on single event; synthetics cannot.</w:t>
            </w:r>
          </w:p>
        </w:tc>
      </w:tr>
      <w:tr>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Liquidity</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Deriv as sole counterparty</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exchange liquidity</w:t>
            </w:r>
          </w:p>
        </w:tc>
        <w:tc>
          <w:tcPr>
            <w:tcW w:type="dxa" w:w="31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Synthetic: counterparty risk. Real: slippage during events.</w:t>
            </w:r>
          </w:p>
        </w:tc>
      </w:tr>
      <w:tr>
        <w:tc>
          <w:tcPr>
            <w:tcW w:type="dxa" w:w="18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Contract Size</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Flexible (micro contracts)</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Fixed contract multipliers</w:t>
            </w:r>
          </w:p>
        </w:tc>
        <w:tc>
          <w:tcPr>
            <w:tcW w:type="dxa" w:w="31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Commodity futures require larger capital per position.</w:t>
            </w:r>
          </w:p>
        </w:tc>
      </w:tr>
      <w:tr>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Correlation to Portfolio</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Near-zero to real assets</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Positive correlation to macro cycle</w:t>
            </w:r>
          </w:p>
        </w:tc>
        <w:tc>
          <w:tcPr>
            <w:tcW w:type="dxa" w:w="31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Synthetics are pure diversifiers; commodities hedge/amplify macro positions.</w:t>
            </w:r>
          </w:p>
        </w:tc>
      </w:tr>
      <w:tr>
        <w:tc>
          <w:tcPr>
            <w:tcW w:type="dxa" w:w="18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Price Discovery</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Algorithmic (CSRNG)</w:t>
            </w:r>
          </w:p>
        </w:tc>
        <w:tc>
          <w:tcPr>
            <w:tcW w:type="dxa" w:w="22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Supply/demand fundamentals</w:t>
            </w:r>
          </w:p>
        </w:tc>
        <w:tc>
          <w:tcPr>
            <w:tcW w:type="dxa" w:w="31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No fundamental analysis applicable to synthetics.</w:t>
            </w:r>
          </w:p>
        </w:tc>
      </w:tr>
      <w:tr>
        <w:tc>
          <w:tcPr>
            <w:tcW w:type="dxa" w:w="18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Regulation</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Broker-regulated (Deriv FSC)</w:t>
            </w:r>
          </w:p>
        </w:tc>
        <w:tc>
          <w:tcPr>
            <w:tcW w:type="dxa" w:w="22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CFTC, FCA, exchange-regulated</w:t>
            </w:r>
          </w:p>
        </w:tc>
        <w:tc>
          <w:tcPr>
            <w:tcW w:type="dxa" w:w="31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Real futures have stronger institutional oversight.</w:t>
            </w:r>
          </w:p>
        </w:tc>
      </w:tr>
    </w:tbl>
    <w:p>
      <w:pPr>
        <w:spacing w:before="80" w:after="80"/>
      </w:pPr>
      <w:r>
        <w:t xml:space="preserve"/>
      </w:r>
    </w:p>
    <w:p>
      <w:pPr>
        <w:pStyle w:val="Heading2"/>
        <w:spacing w:before="280" w:after="120"/>
      </w:pPr>
      <w:r>
        <w:rPr>
          <w:rFonts w:ascii="Arial" w:cs="Arial" w:eastAsia="Arial" w:hAnsi="Arial"/>
          <w:b/>
          <w:bCs/>
          <w:color w:val="2E2E2E"/>
          <w:sz w:val="26"/>
          <w:szCs w:val="26"/>
        </w:rPr>
        <w:t xml:space="preserve">5.2 Implications for ORTHOM8pro Trading Infrastructure</w:t>
      </w:r>
    </w:p>
    <w:p>
      <w:pPr>
        <w:spacing w:before="60" w:after="80"/>
      </w:pPr>
      <w:r>
        <w:rPr>
          <w:rFonts w:ascii="Arial" w:cs="Arial" w:eastAsia="Arial" w:hAnsi="Arial"/>
          <w:b w:val="false"/>
          <w:bCs w:val="false"/>
          <w:color w:val="1A1A1A"/>
          <w:sz w:val="21"/>
          <w:szCs w:val="21"/>
        </w:rPr>
        <w:t xml:space="preserve">For an AI-powered trading pipeline targeting institutional-grade performance, the synthetic-to-real analogue framework creates a powerful validation layer:</w:t>
      </w:r>
    </w:p>
    <w:p>
      <w:pPr>
        <w:spacing w:before="80" w:after="80"/>
      </w:pPr>
      <w:r>
        <w:t xml:space="preserve"/>
      </w:r>
    </w:p>
    <w:p>
      <w:pPr>
        <w:pStyle w:val="ListParagraph"/>
        <w:numPr>
          <w:ilvl w:val="0"/>
          <w:numId w:val="2"/>
        </w:numPr>
        <w:spacing w:before="40" w:after="40"/>
      </w:pPr>
      <w:r>
        <w:rPr>
          <w:rFonts w:ascii="Arial" w:cs="Arial" w:eastAsia="Arial" w:hAnsi="Arial"/>
          <w:color w:val="1A1A1A"/>
          <w:sz w:val="21"/>
          <w:szCs w:val="21"/>
        </w:rPr>
        <w:t xml:space="preserve">Strategy incubation: Algorithms developed and backtested on synthetic indices can be transferred to commodity futures analogues with calibration adjustments for event risk and session gaps.</w:t>
      </w:r>
    </w:p>
    <w:p>
      <w:pPr>
        <w:pStyle w:val="ListParagraph"/>
        <w:numPr>
          <w:ilvl w:val="0"/>
          <w:numId w:val="2"/>
        </w:numPr>
        <w:spacing w:before="40" w:after="40"/>
      </w:pPr>
      <w:r>
        <w:rPr>
          <w:rFonts w:ascii="Arial" w:cs="Arial" w:eastAsia="Arial" w:hAnsi="Arial"/>
          <w:color w:val="1A1A1A"/>
          <w:sz w:val="21"/>
          <w:szCs w:val="21"/>
        </w:rPr>
        <w:t xml:space="preserve">Volatility regime targeting: AI models can select the appropriate commodity instrument based on current market volatility, using synthetic indices as the reference volatility ladder.</w:t>
      </w:r>
    </w:p>
    <w:p>
      <w:pPr>
        <w:pStyle w:val="ListParagraph"/>
        <w:numPr>
          <w:ilvl w:val="0"/>
          <w:numId w:val="2"/>
        </w:numPr>
        <w:spacing w:before="40" w:after="40"/>
      </w:pPr>
      <w:r>
        <w:rPr>
          <w:rFonts w:ascii="Arial" w:cs="Arial" w:eastAsia="Arial" w:hAnsi="Arial"/>
          <w:color w:val="1A1A1A"/>
          <w:sz w:val="21"/>
          <w:szCs w:val="21"/>
        </w:rPr>
        <w:t xml:space="preserve">Risk parameter seeding: Stop-loss and take-profit parameters calibrated on synthetic indices provide empirically-grounded starting parameters for live commodity trading.</w:t>
      </w:r>
    </w:p>
    <w:p>
      <w:pPr>
        <w:pStyle w:val="ListParagraph"/>
        <w:numPr>
          <w:ilvl w:val="0"/>
          <w:numId w:val="2"/>
        </w:numPr>
        <w:spacing w:before="40" w:after="40"/>
      </w:pPr>
      <w:r>
        <w:rPr>
          <w:rFonts w:ascii="Arial" w:cs="Arial" w:eastAsia="Arial" w:hAnsi="Arial"/>
          <w:color w:val="1A1A1A"/>
          <w:sz w:val="21"/>
          <w:szCs w:val="21"/>
        </w:rPr>
        <w:t xml:space="preserve">24/7 alpha generation: Synthetic indices allow continuous strategy operation during commodity market closures, maintaining pipeline activity without real-world exposure.</w:t>
      </w:r>
    </w:p>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Section 6: Prioritised Market List for Research &amp; Deployment</w:t>
      </w:r>
    </w:p>
    <w:p>
      <w:pPr>
        <w:spacing w:before="60" w:after="80"/>
      </w:pPr>
      <w:r>
        <w:rPr>
          <w:rFonts w:ascii="Arial" w:cs="Arial" w:eastAsia="Arial" w:hAnsi="Arial"/>
          <w:b w:val="false"/>
          <w:bCs w:val="false"/>
          <w:color w:val="1A1A1A"/>
          <w:sz w:val="21"/>
          <w:szCs w:val="21"/>
        </w:rPr>
        <w:t xml:space="preserve">Based on the research findings, the following ranked list of 7–10 markets is recommended for immediate focus — ordered by synthetic-to-real analogue strength, market liquidity, and strategic applicability: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400"/>
        <w:gridCol w:w="1900"/>
        <w:gridCol w:w="2400"/>
        <w:gridCol w:w="1260"/>
      </w:tblGrid>
      <w:tr>
        <w:trPr>
          <w:tblHeader/>
        </w:trPr>
        <w:tc>
          <w:tcPr>
            <w:tcW w:type="dxa" w:w="7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7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Real Market</w:t>
            </w:r>
          </w:p>
        </w:tc>
        <w:tc>
          <w:tcPr>
            <w:tcW w:type="dxa" w:w="14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Symbol</w:t>
            </w:r>
          </w:p>
        </w:tc>
        <w:tc>
          <w:tcPr>
            <w:tcW w:type="dxa" w:w="19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Synthetic Analogue</w:t>
            </w:r>
          </w:p>
        </w:tc>
        <w:tc>
          <w:tcPr>
            <w:tcW w:type="dxa" w:w="240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Recommended Strategy Focus</w:t>
            </w:r>
          </w:p>
        </w:tc>
        <w:tc>
          <w:tcPr>
            <w:tcW w:type="dxa" w:w="1260"/>
            <w:tcBorders>
              <w:top w:val="single" w:color="C8A84B" w:sz="1"/>
              <w:left w:val="single" w:color="C8A84B" w:sz="1"/>
              <w:bottom w:val="single" w:color="C8A84B" w:sz="1"/>
              <w:right w:val="single" w:color="C8A84B"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Deployment Stage</w:t>
            </w:r>
          </w:p>
        </w:tc>
      </w:tr>
      <w:tr>
        <w:tc>
          <w:tcPr>
            <w:tcW w:type="dxa" w:w="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1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Futures</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GC (COMEX)</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Volatility 25 / V25 (1s)</w:t>
            </w:r>
          </w:p>
        </w:tc>
        <w:tc>
          <w:tcPr>
            <w:tcW w:type="dxa" w:w="2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Trend-following, Bollinger Band, EMA crossover</w:t>
            </w:r>
          </w:p>
        </w:tc>
        <w:tc>
          <w:tcPr>
            <w:tcW w:type="dxa" w:w="1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Immediate</w:t>
            </w:r>
          </w:p>
        </w:tc>
      </w:tr>
      <w:tr>
        <w:tc>
          <w:tcPr>
            <w:tcW w:type="dxa" w:w="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1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WTI Crude Oil Futures</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CL (NYMEX)</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Boom 300 / Crash 300</w:t>
            </w:r>
          </w:p>
        </w:tc>
        <w:tc>
          <w:tcPr>
            <w:tcW w:type="dxa" w:w="2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Spike anticipation, post-spike retracement</w:t>
            </w:r>
          </w:p>
        </w:tc>
        <w:tc>
          <w:tcPr>
            <w:tcW w:type="dxa" w:w="1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Immediate</w:t>
            </w:r>
          </w:p>
        </w:tc>
      </w:tr>
      <w:tr>
        <w:tc>
          <w:tcPr>
            <w:tcW w:type="dxa" w:w="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1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Silver Futures</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 (COMEX)</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Volatility 50 / V50 (1s)</w:t>
            </w:r>
          </w:p>
        </w:tc>
        <w:tc>
          <w:tcPr>
            <w:tcW w:type="dxa" w:w="2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Momentum breakout, scaled EMA trend</w:t>
            </w:r>
          </w:p>
        </w:tc>
        <w:tc>
          <w:tcPr>
            <w:tcW w:type="dxa" w:w="1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w:t>
            </w:r>
          </w:p>
        </w:tc>
      </w:tr>
      <w:tr>
        <w:tc>
          <w:tcPr>
            <w:tcW w:type="dxa" w:w="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1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Natural Gas Futures</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NG (NYMEX)</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Jump Indices (J25/J50)</w:t>
            </w:r>
          </w:p>
        </w:tc>
        <w:tc>
          <w:tcPr>
            <w:tcW w:type="dxa" w:w="2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Jump-event preparation, range-bound scalping</w:t>
            </w:r>
          </w:p>
        </w:tc>
        <w:tc>
          <w:tcPr>
            <w:tcW w:type="dxa" w:w="1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Phase 2</w:t>
            </w:r>
          </w:p>
        </w:tc>
      </w:tr>
      <w:tr>
        <w:tc>
          <w:tcPr>
            <w:tcW w:type="dxa" w:w="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1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Wheat Futures</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ZW (CBOT)</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Range Break 100</w:t>
            </w:r>
          </w:p>
        </w:tc>
        <w:tc>
          <w:tcPr>
            <w:tcW w:type="dxa" w:w="2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Seasonal breakout, Bollinger squeeze entry</w:t>
            </w:r>
          </w:p>
        </w:tc>
        <w:tc>
          <w:tcPr>
            <w:tcW w:type="dxa" w:w="1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w:t>
            </w:r>
          </w:p>
        </w:tc>
      </w:tr>
      <w:tr>
        <w:tc>
          <w:tcPr>
            <w:tcW w:type="dxa" w:w="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1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Copper Futures</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HG (COMEX)</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Boom 1000 / Crash 1000</w:t>
            </w:r>
          </w:p>
        </w:tc>
        <w:tc>
          <w:tcPr>
            <w:tcW w:type="dxa" w:w="2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Low-frequency breakout, macro trend capture</w:t>
            </w:r>
          </w:p>
        </w:tc>
        <w:tc>
          <w:tcPr>
            <w:tcW w:type="dxa" w:w="1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Phase 3</w:t>
            </w:r>
          </w:p>
        </w:tc>
      </w:tr>
      <w:tr>
        <w:tc>
          <w:tcPr>
            <w:tcW w:type="dxa" w:w="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1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Corn Futures</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ZC (CBOT)</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Drift Switch 10/20</w:t>
            </w:r>
          </w:p>
        </w:tc>
        <w:tc>
          <w:tcPr>
            <w:tcW w:type="dxa" w:w="2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Regime-adaptive trend-following</w:t>
            </w:r>
          </w:p>
        </w:tc>
        <w:tc>
          <w:tcPr>
            <w:tcW w:type="dxa" w:w="1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w:t>
            </w:r>
          </w:p>
        </w:tc>
      </w:tr>
      <w:tr>
        <w:tc>
          <w:tcPr>
            <w:tcW w:type="dxa" w:w="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1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Soybeans Futures</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ZS (CBOT)</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Volatility 75</w:t>
            </w:r>
          </w:p>
        </w:tc>
        <w:tc>
          <w:tcPr>
            <w:tcW w:type="dxa" w:w="2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High-vol momentum, weather-driven event plays</w:t>
            </w:r>
          </w:p>
        </w:tc>
        <w:tc>
          <w:tcPr>
            <w:tcW w:type="dxa" w:w="1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Phase 3</w:t>
            </w:r>
          </w:p>
        </w:tc>
      </w:tr>
      <w:tr>
        <w:tc>
          <w:tcPr>
            <w:tcW w:type="dxa" w:w="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17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Sugar No. 11</w:t>
            </w:r>
          </w:p>
        </w:tc>
        <w:tc>
          <w:tcPr>
            <w:tcW w:type="dxa" w:w="1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SB (ICE)</w:t>
            </w:r>
          </w:p>
        </w:tc>
        <w:tc>
          <w:tcPr>
            <w:tcW w:type="dxa" w:w="19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Hybrid Indices (Vol over Boom)</w:t>
            </w:r>
          </w:p>
        </w:tc>
        <w:tc>
          <w:tcPr>
            <w:tcW w:type="dxa" w:w="240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Directional drift + volatility burst strategies</w:t>
            </w:r>
          </w:p>
        </w:tc>
        <w:tc>
          <w:tcPr>
            <w:tcW w:type="dxa" w:w="1260"/>
            <w:tcBorders>
              <w:top w:val="single" w:color="C8A84B" w:sz="1"/>
              <w:left w:val="single" w:color="C8A84B" w:sz="1"/>
              <w:bottom w:val="single" w:color="C8A84B" w:sz="1"/>
              <w:right w:val="single" w:color="C8A84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4</w:t>
            </w:r>
          </w:p>
        </w:tc>
      </w:tr>
      <w:tr>
        <w:tc>
          <w:tcPr>
            <w:tcW w:type="dxa" w:w="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17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Aluminium Futures</w:t>
            </w:r>
          </w:p>
        </w:tc>
        <w:tc>
          <w:tcPr>
            <w:tcW w:type="dxa" w:w="1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AH (LME)</w:t>
            </w:r>
          </w:p>
        </w:tc>
        <w:tc>
          <w:tcPr>
            <w:tcW w:type="dxa" w:w="19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Volatility 10 / V10 (1s)</w:t>
            </w:r>
          </w:p>
        </w:tc>
        <w:tc>
          <w:tcPr>
            <w:tcW w:type="dxa" w:w="240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Low-vol steady accumulation, range trading</w:t>
            </w:r>
          </w:p>
        </w:tc>
        <w:tc>
          <w:tcPr>
            <w:tcW w:type="dxa" w:w="1260"/>
            <w:tcBorders>
              <w:top w:val="single" w:color="C8A84B" w:sz="1"/>
              <w:left w:val="single" w:color="C8A84B" w:sz="1"/>
              <w:bottom w:val="single" w:color="C8A84B" w:sz="1"/>
              <w:right w:val="single" w:color="C8A84B"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Phase 4</w:t>
            </w:r>
          </w:p>
        </w:tc>
      </w:tr>
    </w:tbl>
    <w:p>
      <w:r>
        <w:br w:type="page"/>
      </w:r>
    </w:p>
    <w:p>
      <w:pPr>
        <w:pStyle w:val="Heading1"/>
        <w:pBdr>
          <w:bottom w:val="single" w:color="B8860B" w:sz="4" w:space="4"/>
        </w:pBdr>
        <w:spacing w:before="360" w:after="160"/>
      </w:pPr>
      <w:r>
        <w:rPr>
          <w:rFonts w:ascii="Arial" w:cs="Arial" w:eastAsia="Arial" w:hAnsi="Arial"/>
          <w:b/>
          <w:bCs/>
          <w:color w:val="1A1A1A"/>
          <w:sz w:val="32"/>
          <w:szCs w:val="32"/>
        </w:rPr>
        <w:t xml:space="preserve">Section 7: Conclusions &amp; Recommendations</w:t>
      </w:r>
    </w:p>
    <w:p>
      <w:pPr>
        <w:spacing w:before="60" w:after="80"/>
      </w:pPr>
      <w:r>
        <w:rPr>
          <w:rFonts w:ascii="Arial" w:cs="Arial" w:eastAsia="Arial" w:hAnsi="Arial"/>
          <w:b w:val="false"/>
          <w:bCs w:val="false"/>
          <w:color w:val="1A1A1A"/>
          <w:sz w:val="21"/>
          <w:szCs w:val="21"/>
        </w:rPr>
        <w:t xml:space="preserve">This research establishes a clear and actionable framework for mapping synthetic indices to their most functionally similar commodity and futures market counterparts. The core conclusions are:</w:t>
      </w:r>
    </w:p>
    <w:p>
      <w:pPr>
        <w:spacing w:before="80" w:after="80"/>
      </w:pPr>
      <w:r>
        <w:t xml:space="preserve"/>
      </w:r>
    </w:p>
    <w:p>
      <w:pPr>
        <w:pStyle w:val="ListParagraph"/>
        <w:numPr>
          <w:ilvl w:val="0"/>
          <w:numId w:val="2"/>
        </w:numPr>
        <w:spacing w:before="40" w:after="40"/>
      </w:pPr>
      <w:r>
        <w:rPr>
          <w:rFonts w:ascii="Arial" w:cs="Arial" w:eastAsia="Arial" w:hAnsi="Arial"/>
          <w:color w:val="1A1A1A"/>
          <w:sz w:val="21"/>
          <w:szCs w:val="21"/>
        </w:rPr>
        <w:t xml:space="preserve">Gold futures (GC) and Volatility 25 represent the highest-confidence Tier 1 analogue pair — both operating in the same volatility band with transferable technical analysis frameworks.</w:t>
      </w:r>
    </w:p>
    <w:p>
      <w:pPr>
        <w:pStyle w:val="ListParagraph"/>
        <w:numPr>
          <w:ilvl w:val="0"/>
          <w:numId w:val="2"/>
        </w:numPr>
        <w:spacing w:before="40" w:after="40"/>
      </w:pPr>
      <w:r>
        <w:rPr>
          <w:rFonts w:ascii="Arial" w:cs="Arial" w:eastAsia="Arial" w:hAnsi="Arial"/>
          <w:color w:val="1A1A1A"/>
          <w:sz w:val="21"/>
          <w:szCs w:val="21"/>
        </w:rPr>
        <w:t xml:space="preserve">WTI Crude Oil (CL) and Boom/Crash 300 are the most strategically valuable Tier 1 pair for spike-event trading and retracement systems.</w:t>
      </w:r>
    </w:p>
    <w:p>
      <w:pPr>
        <w:pStyle w:val="ListParagraph"/>
        <w:numPr>
          <w:ilvl w:val="0"/>
          <w:numId w:val="2"/>
        </w:numPr>
        <w:spacing w:before="40" w:after="40"/>
      </w:pPr>
      <w:r>
        <w:rPr>
          <w:rFonts w:ascii="Arial" w:cs="Arial" w:eastAsia="Arial" w:hAnsi="Arial"/>
          <w:color w:val="1A1A1A"/>
          <w:sz w:val="21"/>
          <w:szCs w:val="21"/>
        </w:rPr>
        <w:t xml:space="preserve">The Deriv synthetic ecosystem provides a structured 'volatility ladder' from V10 through V250 that maps directly onto the spectrum from Aluminium (lowest) to Natural Gas (highest) in real commodity markets.</w:t>
      </w:r>
    </w:p>
    <w:p>
      <w:pPr>
        <w:pStyle w:val="ListParagraph"/>
        <w:numPr>
          <w:ilvl w:val="0"/>
          <w:numId w:val="2"/>
        </w:numPr>
        <w:spacing w:before="40" w:after="40"/>
      </w:pPr>
      <w:r>
        <w:rPr>
          <w:rFonts w:ascii="Arial" w:cs="Arial" w:eastAsia="Arial" w:hAnsi="Arial"/>
          <w:color w:val="1A1A1A"/>
          <w:sz w:val="21"/>
          <w:szCs w:val="21"/>
        </w:rPr>
        <w:t xml:space="preserve">Jump Indices represent the most under-utilised analogue for Natural Gas futures — this pairing has high alpha potential for event-driven trading systems.</w:t>
      </w:r>
    </w:p>
    <w:p>
      <w:pPr>
        <w:pStyle w:val="ListParagraph"/>
        <w:numPr>
          <w:ilvl w:val="0"/>
          <w:numId w:val="2"/>
        </w:numPr>
        <w:spacing w:before="40" w:after="40"/>
      </w:pPr>
      <w:r>
        <w:rPr>
          <w:rFonts w:ascii="Arial" w:cs="Arial" w:eastAsia="Arial" w:hAnsi="Arial"/>
          <w:color w:val="1A1A1A"/>
          <w:sz w:val="21"/>
          <w:szCs w:val="21"/>
        </w:rPr>
        <w:t xml:space="preserve">Agricultural markets (Wheat, Corn, Soybeans) align with the lower-frequency synthetic index families (Range Break, Drift Switch) and are best deployed in the second and third phases of infrastructure rollout.</w:t>
      </w:r>
    </w:p>
    <w:p>
      <w:pPr>
        <w:spacing w:before="80" w:after="80"/>
      </w:pPr>
      <w:r>
        <w:t xml:space="preserve"/>
      </w:r>
    </w:p>
    <w:p>
      <w:pPr>
        <w:spacing w:before="60" w:after="80"/>
      </w:pPr>
      <w:r>
        <w:rPr>
          <w:rFonts w:ascii="Arial" w:cs="Arial" w:eastAsia="Arial" w:hAnsi="Arial"/>
          <w:b w:val="false"/>
          <w:bCs w:val="false"/>
          <w:color w:val="1A1A1A"/>
          <w:sz w:val="21"/>
          <w:szCs w:val="21"/>
        </w:rPr>
        <w:t xml:space="preserve">For ORTHOM8pro's AI trading pipeline, the recommended phased approach is to begin strategy validation on Volatility 25 and Gold (GC), then expand to Crude Oil via Boom/Crash indices, before deploying the broader commodity suite in phases 3 and 4 as models mature and institutional capital scales.</w:t>
      </w:r>
    </w:p>
    <w:p>
      <w:pPr>
        <w:spacing w:before="80" w:after="80"/>
      </w:pPr>
      <w:r>
        <w:t xml:space="preserve"/>
      </w:r>
    </w:p>
    <w:p>
      <w:pPr>
        <w:spacing w:before="60" w:after="80"/>
      </w:pPr>
      <w:r>
        <w:rPr>
          <w:rFonts w:ascii="Arial" w:cs="Arial" w:eastAsia="Arial" w:hAnsi="Arial"/>
          <w:b w:val="false"/>
          <w:bCs w:val="false"/>
          <w:color w:val="1A1A1A"/>
          <w:sz w:val="21"/>
          <w:szCs w:val="21"/>
        </w:rPr>
        <w:t xml:space="preserve">Research Date: March 2026 | Prepared for ORTHOM8pro Internal Strategy Division</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ORTHOM8pro Research Division  |  Synthetic Indices × Commodities &amp; Futures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2026-03-26T07:40:32.580Z</dcterms:created>
  <dcterms:modified xsi:type="dcterms:W3CDTF">2026-03-26T07:40:32.580Z</dcterms:modified>
</cp:coreProperties>
</file>

<file path=docProps/custom.xml><?xml version="1.0" encoding="utf-8"?>
<Properties xmlns="http://schemas.openxmlformats.org/officeDocument/2006/custom-properties" xmlns:vt="http://schemas.openxmlformats.org/officeDocument/2006/docPropsVTypes"/>
</file>