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rFonts w:ascii="Microsoft YaHei" w:hAnsi="Microsoft YaHei" w:eastAsia="Microsoft YaHei"/>
          <w:b/>
          <w:color w:val="000000"/>
          <w:sz w:val="52"/>
        </w:rPr>
        <w:t>SCMG GitHub 仓库详细说明</w:t>
      </w:r>
    </w:p>
    <w:p>
      <w:pPr>
        <w:pStyle w:val="Subtitle"/>
        <w:jc w:val="center"/>
      </w:pPr>
      <w:r>
        <w:rPr>
          <w:rFonts w:ascii="Microsoft YaHei" w:hAnsi="Microsoft YaHei" w:eastAsia="Microsoft YaHei"/>
          <w:color w:val="000000"/>
          <w:sz w:val="26"/>
        </w:rPr>
        <w:t>上传内容 项目结构 核心模块 接口与维护</w:t>
      </w:r>
    </w:p>
    <w:p/>
    <w:p>
      <w:pPr>
        <w:jc w:val="center"/>
      </w:pPr>
      <w:r>
        <w:rPr>
          <w:rFonts w:ascii="Microsoft YaHei" w:hAnsi="Microsoft YaHei" w:eastAsia="Microsoft YaHei"/>
          <w:color w:val="444444"/>
          <w:sz w:val="20"/>
        </w:rPr>
        <w:t>仓库地址  https://github.com/299195/SCMG</w:t>
        <w:br/>
      </w:r>
      <w:r>
        <w:rPr>
          <w:rFonts w:ascii="Microsoft YaHei" w:hAnsi="Microsoft YaHei" w:eastAsia="Microsoft YaHei"/>
          <w:color w:val="444444"/>
          <w:sz w:val="20"/>
        </w:rPr>
        <w:t>文档版本  1.0</w:t>
        <w:br/>
      </w:r>
      <w:r>
        <w:rPr>
          <w:rFonts w:ascii="Microsoft YaHei" w:hAnsi="Microsoft YaHei" w:eastAsia="Microsoft YaHei"/>
          <w:color w:val="444444"/>
          <w:sz w:val="20"/>
        </w:rPr>
        <w:t>更新日期  2026年10月28日</w:t>
        <w:br/>
      </w:r>
      <w:r>
        <w:rPr>
          <w:rFonts w:ascii="Microsoft YaHei" w:hAnsi="Microsoft YaHei" w:eastAsia="Microsoft YaHei"/>
          <w:color w:val="444444"/>
          <w:sz w:val="20"/>
        </w:rPr>
        <w:t>对应提交  6d5da34574de1be27eb78efdd2b4dca3725752af</w:t>
        <w:br/>
      </w:r>
    </w:p>
    <w:p/>
    <w:p>
      <w:pPr>
        <w:spacing w:line="324" w:lineRule="auto"/>
        <w:ind w:left="624" w:right="624"/>
        <w:jc w:val="both"/>
      </w:pPr>
      <w:r>
        <w:rPr>
          <w:rFonts w:ascii="Microsoft YaHei" w:hAnsi="Microsoft YaHei" w:eastAsia="Microsoft YaHei"/>
          <w:color w:val="000000"/>
          <w:sz w:val="21"/>
        </w:rPr>
        <w:t>本文档说明 SCMG GitHub 仓库实际上传的内容、项目结构、运行接口和各部分职责。读者可以据此理解代码如何把来源约束应用到持久记忆的写入、落盘复查、后续使用和敏感工具调用，并完成本地安装、测试和扩展。</w:t>
      </w:r>
    </w:p>
    <w:p>
      <w:r>
        <w:br w:type="page"/>
      </w:r>
    </w:p>
    <w:p>
      <w:pPr>
        <w:pStyle w:val="Heading1"/>
        <w:keepNext/>
      </w:pPr>
      <w:r>
        <w:rPr>
          <w:rFonts w:ascii="Microsoft YaHei" w:hAnsi="Microsoft YaHei" w:eastAsia="Microsoft YaHei"/>
          <w:b/>
          <w:color w:val="000000"/>
          <w:sz w:val="32"/>
        </w:rPr>
        <w:t>文档导读</w:t>
      </w:r>
    </w:p>
    <w:p>
      <w:pPr>
        <w:pStyle w:val="BodyText"/>
      </w:pPr>
      <w:r>
        <w:rPr>
          <w:rFonts w:ascii="Microsoft YaHei" w:hAnsi="Microsoft YaHei" w:eastAsia="Microsoft YaHei"/>
          <w:color w:val="000000"/>
          <w:sz w:val="21"/>
        </w:rPr>
        <w:t>本仓库是一份可独立阅读和运行的 SCMG 研究原型。核心代码只依赖 Python 标准库，OpenClaw 插件通过同步 JSON 桥接调用策略。仓库中的合成样例和自动测试用于说明接口并验证确定性行为。</w:t>
      </w:r>
    </w:p>
    <w:p>
      <w:pPr>
        <w:pStyle w:val="Heading2"/>
        <w:keepNext/>
      </w:pPr>
      <w:r>
        <w:rPr>
          <w:rFonts w:ascii="Microsoft YaHei" w:hAnsi="Microsoft YaHei" w:eastAsia="Microsoft YaHei"/>
          <w:b/>
          <w:color w:val="000000"/>
          <w:sz w:val="26"/>
        </w:rPr>
        <w:t>阅读路径</w:t>
      </w:r>
    </w:p>
    <w:p>
      <w:pPr>
        <w:pStyle w:val="ListNumber"/>
      </w:pPr>
      <w:r>
        <w:rPr>
          <w:rFonts w:ascii="Microsoft YaHei" w:hAnsi="Microsoft YaHei" w:eastAsia="Microsoft YaHei"/>
          <w:color w:val="000000"/>
          <w:sz w:val="20"/>
        </w:rPr>
        <w:t>先阅读项目定位和总体架构，理解 SCMG 保护的对象与处理阶段。</w:t>
      </w:r>
    </w:p>
    <w:p>
      <w:pPr>
        <w:pStyle w:val="ListNumber"/>
      </w:pPr>
      <w:r>
        <w:rPr>
          <w:rFonts w:ascii="Microsoft YaHei" w:hAnsi="Microsoft YaHei" w:eastAsia="Microsoft YaHei"/>
          <w:color w:val="000000"/>
          <w:sz w:val="20"/>
        </w:rPr>
        <w:t>再阅读仓库结构、核心 Python 包和 OpenClaw 插件，定位代码入口。</w:t>
      </w:r>
    </w:p>
    <w:p>
      <w:pPr>
        <w:pStyle w:val="ListNumber"/>
      </w:pPr>
      <w:r>
        <w:rPr>
          <w:rFonts w:ascii="Microsoft YaHei" w:hAnsi="Microsoft YaHei" w:eastAsia="Microsoft YaHei"/>
          <w:color w:val="000000"/>
          <w:sz w:val="20"/>
        </w:rPr>
        <w:t>需要运行时，按照安装配置和桥接协议准备环境。</w:t>
      </w:r>
    </w:p>
    <w:p>
      <w:pPr>
        <w:pStyle w:val="ListNumber"/>
      </w:pPr>
      <w:r>
        <w:rPr>
          <w:rFonts w:ascii="Microsoft YaHei" w:hAnsi="Microsoft YaHei" w:eastAsia="Microsoft YaHei"/>
          <w:color w:val="000000"/>
          <w:sz w:val="20"/>
        </w:rPr>
        <w:t>需要扩展时，使用维护章节中的检查清单增加记忆路径、工具和 Agent 适配。</w:t>
      </w:r>
    </w:p>
    <w:p>
      <w:pPr>
        <w:pStyle w:val="Heading2"/>
        <w:keepNext/>
      </w:pPr>
      <w:r>
        <w:rPr>
          <w:rFonts w:ascii="Microsoft YaHei" w:hAnsi="Microsoft YaHei" w:eastAsia="Microsoft YaHei"/>
          <w:b/>
          <w:color w:val="000000"/>
          <w:sz w:val="26"/>
        </w:rPr>
        <w:t>内容范围</w:t>
      </w:r>
    </w:p>
    <w:p>
      <w:pPr>
        <w:pStyle w:val="ListBullet"/>
      </w:pPr>
      <w:r>
        <w:rPr>
          <w:rFonts w:ascii="Microsoft YaHei" w:hAnsi="Microsoft YaHei" w:eastAsia="Microsoft YaHei"/>
          <w:color w:val="000000"/>
          <w:sz w:val="20"/>
        </w:rPr>
        <w:t>核心策略、桥接接口、评测辅助函数和 Python 包配置。</w:t>
      </w:r>
    </w:p>
    <w:p>
      <w:pPr>
        <w:pStyle w:val="ListBullet"/>
      </w:pPr>
      <w:r>
        <w:rPr>
          <w:rFonts w:ascii="Microsoft YaHei" w:hAnsi="Microsoft YaHei" w:eastAsia="Microsoft YaHei"/>
          <w:color w:val="000000"/>
          <w:sz w:val="20"/>
        </w:rPr>
        <w:t>OpenClaw 生命周期钩子集成及其环境变量。</w:t>
      </w:r>
    </w:p>
    <w:p>
      <w:pPr>
        <w:pStyle w:val="ListBullet"/>
      </w:pPr>
      <w:r>
        <w:rPr>
          <w:rFonts w:ascii="Microsoft YaHei" w:hAnsi="Microsoft YaHei" w:eastAsia="Microsoft YaHei"/>
          <w:color w:val="000000"/>
          <w:sz w:val="20"/>
        </w:rPr>
        <w:t>独立合成样例、确定性测试、架构说明和使用说明。</w:t>
      </w:r>
    </w:p>
    <w:p>
      <w:pPr>
        <w:pStyle w:val="ListBullet"/>
      </w:pPr>
      <w:r>
        <w:rPr>
          <w:rFonts w:ascii="Microsoft YaHei" w:hAnsi="Microsoft YaHei" w:eastAsia="Microsoft YaHei"/>
          <w:color w:val="000000"/>
          <w:sz w:val="20"/>
        </w:rPr>
        <w:t>仓库内容边界、部署注意事项和维护建议。</w:t>
      </w:r>
    </w:p>
    <w:p>
      <w:pPr>
        <w:pStyle w:val="Heading2"/>
        <w:keepNext/>
      </w:pPr>
      <w:r>
        <w:rPr>
          <w:rFonts w:ascii="Microsoft YaHei" w:hAnsi="Microsoft YaHei" w:eastAsia="Microsoft YaHei"/>
          <w:b/>
          <w:color w:val="000000"/>
          <w:sz w:val="26"/>
        </w:rPr>
        <w:t>章节结构</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680"/>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章节</w:t>
            </w:r>
          </w:p>
        </w:tc>
        <w:tc>
          <w:tcPr>
            <w:tcW w:type="dxa" w:w="4876"/>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内容</w:t>
            </w:r>
          </w:p>
        </w:tc>
        <w:tc>
          <w:tcPr>
            <w:tcW w:type="dxa" w:w="3061"/>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适合读者</w:t>
            </w:r>
          </w:p>
        </w:tc>
      </w:tr>
      <w:tr>
        <w:tc>
          <w:tcPr>
            <w:tcW w:type="dxa" w:w="68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一</w:t>
            </w:r>
          </w:p>
        </w:tc>
        <w:tc>
          <w:tcPr>
            <w:tcW w:type="dxa" w:w="487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项目定位与设计目标</w:t>
            </w:r>
          </w:p>
        </w:tc>
        <w:tc>
          <w:tcPr>
            <w:tcW w:type="dxa" w:w="3061"/>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所有读者</w:t>
            </w:r>
          </w:p>
        </w:tc>
      </w:tr>
      <w:tr>
        <w:tc>
          <w:tcPr>
            <w:tcW w:type="dxa" w:w="680"/>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二</w:t>
            </w:r>
          </w:p>
        </w:tc>
        <w:tc>
          <w:tcPr>
            <w:tcW w:type="dxa" w:w="487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系统架构与处理流程</w:t>
            </w:r>
          </w:p>
        </w:tc>
        <w:tc>
          <w:tcPr>
            <w:tcW w:type="dxa" w:w="3061"/>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研究人员与架构人员</w:t>
            </w:r>
          </w:p>
        </w:tc>
      </w:tr>
      <w:tr>
        <w:tc>
          <w:tcPr>
            <w:tcW w:type="dxa" w:w="68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三</w:t>
            </w:r>
          </w:p>
        </w:tc>
        <w:tc>
          <w:tcPr>
            <w:tcW w:type="dxa" w:w="487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仓库结构与文件职责</w:t>
            </w:r>
          </w:p>
        </w:tc>
        <w:tc>
          <w:tcPr>
            <w:tcW w:type="dxa" w:w="3061"/>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开发与维护人员</w:t>
            </w:r>
          </w:p>
        </w:tc>
      </w:tr>
      <w:tr>
        <w:tc>
          <w:tcPr>
            <w:tcW w:type="dxa" w:w="680"/>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四</w:t>
            </w:r>
          </w:p>
        </w:tc>
        <w:tc>
          <w:tcPr>
            <w:tcW w:type="dxa" w:w="487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核心 Python 包</w:t>
            </w:r>
          </w:p>
        </w:tc>
        <w:tc>
          <w:tcPr>
            <w:tcW w:type="dxa" w:w="3061"/>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Python 开发人员</w:t>
            </w:r>
          </w:p>
        </w:tc>
      </w:tr>
      <w:tr>
        <w:tc>
          <w:tcPr>
            <w:tcW w:type="dxa" w:w="68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五</w:t>
            </w:r>
          </w:p>
        </w:tc>
        <w:tc>
          <w:tcPr>
            <w:tcW w:type="dxa" w:w="487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OpenClaw 插件</w:t>
            </w:r>
          </w:p>
        </w:tc>
        <w:tc>
          <w:tcPr>
            <w:tcW w:type="dxa" w:w="3061"/>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Agent 集成人员</w:t>
            </w:r>
          </w:p>
        </w:tc>
      </w:tr>
      <w:tr>
        <w:tc>
          <w:tcPr>
            <w:tcW w:type="dxa" w:w="680"/>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六</w:t>
            </w:r>
          </w:p>
        </w:tc>
        <w:tc>
          <w:tcPr>
            <w:tcW w:type="dxa" w:w="487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数据结构与桥接协议</w:t>
            </w:r>
          </w:p>
        </w:tc>
        <w:tc>
          <w:tcPr>
            <w:tcW w:type="dxa" w:w="3061"/>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接口开发人员</w:t>
            </w:r>
          </w:p>
        </w:tc>
      </w:tr>
      <w:tr>
        <w:tc>
          <w:tcPr>
            <w:tcW w:type="dxa" w:w="68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七</w:t>
            </w:r>
          </w:p>
        </w:tc>
        <w:tc>
          <w:tcPr>
            <w:tcW w:type="dxa" w:w="487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安装运行与示例</w:t>
            </w:r>
          </w:p>
        </w:tc>
        <w:tc>
          <w:tcPr>
            <w:tcW w:type="dxa" w:w="3061"/>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首次使用者</w:t>
            </w:r>
          </w:p>
        </w:tc>
      </w:tr>
      <w:tr>
        <w:tc>
          <w:tcPr>
            <w:tcW w:type="dxa" w:w="680"/>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八</w:t>
            </w:r>
          </w:p>
        </w:tc>
        <w:tc>
          <w:tcPr>
            <w:tcW w:type="dxa" w:w="487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测试与验证</w:t>
            </w:r>
          </w:p>
        </w:tc>
        <w:tc>
          <w:tcPr>
            <w:tcW w:type="dxa" w:w="3061"/>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开发与审核人员</w:t>
            </w:r>
          </w:p>
        </w:tc>
      </w:tr>
      <w:tr>
        <w:tc>
          <w:tcPr>
            <w:tcW w:type="dxa" w:w="68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九</w:t>
            </w:r>
          </w:p>
        </w:tc>
        <w:tc>
          <w:tcPr>
            <w:tcW w:type="dxa" w:w="487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安全属性与适用边界</w:t>
            </w:r>
          </w:p>
        </w:tc>
        <w:tc>
          <w:tcPr>
            <w:tcW w:type="dxa" w:w="3061"/>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安全研究人员</w:t>
            </w:r>
          </w:p>
        </w:tc>
      </w:tr>
      <w:tr>
        <w:tc>
          <w:tcPr>
            <w:tcW w:type="dxa" w:w="680"/>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十</w:t>
            </w:r>
          </w:p>
        </w:tc>
        <w:tc>
          <w:tcPr>
            <w:tcW w:type="dxa" w:w="487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扩展维护与发布</w:t>
            </w:r>
          </w:p>
        </w:tc>
        <w:tc>
          <w:tcPr>
            <w:tcW w:type="dxa" w:w="3061"/>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仓库维护人员</w:t>
            </w:r>
          </w:p>
        </w:tc>
      </w:tr>
    </w:tbl>
    <w:p>
      <w:pPr>
        <w:spacing w:after="0"/>
      </w:pPr>
    </w:p>
    <w:p>
      <w:pPr>
        <w:pStyle w:val="Heading1"/>
        <w:keepNext/>
      </w:pPr>
      <w:r>
        <w:rPr>
          <w:rFonts w:ascii="Microsoft YaHei" w:hAnsi="Microsoft YaHei" w:eastAsia="Microsoft YaHei"/>
          <w:b/>
          <w:color w:val="000000"/>
          <w:sz w:val="32"/>
        </w:rPr>
        <w:t>一 项目定位与设计目标</w:t>
      </w:r>
    </w:p>
    <w:p>
      <w:pPr>
        <w:pStyle w:val="Heading2"/>
        <w:keepNext/>
      </w:pPr>
      <w:r>
        <w:rPr>
          <w:rFonts w:ascii="Microsoft YaHei" w:hAnsi="Microsoft YaHei" w:eastAsia="Microsoft YaHei"/>
          <w:b/>
          <w:color w:val="000000"/>
          <w:sz w:val="26"/>
        </w:rPr>
        <w:t>项目定位</w:t>
      </w:r>
    </w:p>
    <w:p>
      <w:pPr>
        <w:pStyle w:val="BodyText"/>
      </w:pPr>
      <w:r>
        <w:rPr>
          <w:rFonts w:ascii="Microsoft YaHei" w:hAnsi="Microsoft YaHei" w:eastAsia="Microsoft YaHei"/>
          <w:color w:val="000000"/>
          <w:sz w:val="21"/>
        </w:rPr>
        <w:t>SCMG 的目标是防止外部材料中的陈述在跨会话持久化过程中失去来源语境，并因此获得超出原始任务的长期权威。系统把经过认证的用户请求与外部任务材料分开处理，保存二者的内容哈希，并将来源约束延续到记忆写入、文件复查、后续使用和工具调用。</w:t>
      </w:r>
    </w:p>
    <w:p>
      <w:pPr>
        <w:pStyle w:val="BodyText"/>
      </w:pPr>
      <w:r>
        <w:rPr>
          <w:rFonts w:ascii="Microsoft YaHei" w:hAnsi="Microsoft YaHei" w:eastAsia="Microsoft YaHei"/>
          <w:color w:val="000000"/>
          <w:sz w:val="21"/>
        </w:rPr>
        <w:t>仓库采用策略层、桥接层和 Agent 插件三层结构。策略层给出确定性判断；桥接层把策略封装为 JSON 动作；插件层在 OpenClaw 生命周期中选择合适的动作并处理返回结果。评测模块与运行策略分离，只负责对已形成的结果行进行汇总。</w:t>
      </w:r>
    </w:p>
    <w:p>
      <w:pPr>
        <w:pStyle w:val="Heading2"/>
        <w:keepNext/>
      </w:pPr>
      <w:r>
        <w:rPr>
          <w:rFonts w:ascii="Microsoft YaHei" w:hAnsi="Microsoft YaHei" w:eastAsia="Microsoft YaHei"/>
          <w:b/>
          <w:color w:val="000000"/>
          <w:sz w:val="26"/>
        </w:rPr>
        <w:t>设计目标</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1701"/>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目标</w:t>
            </w:r>
          </w:p>
        </w:tc>
        <w:tc>
          <w:tcPr>
            <w:tcW w:type="dxa" w:w="4252"/>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具体含义</w:t>
            </w:r>
          </w:p>
        </w:tc>
        <w:tc>
          <w:tcPr>
            <w:tcW w:type="dxa" w:w="2665"/>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对应实现</w:t>
            </w:r>
          </w:p>
        </w:tc>
      </w:tr>
      <w:tr>
        <w:tc>
          <w:tcPr>
            <w:tcW w:type="dxa" w:w="170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来源连续性</w:t>
            </w:r>
          </w:p>
        </w:tc>
        <w:tc>
          <w:tcPr>
            <w:tcW w:type="dxa" w:w="425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外部材料进入记忆后仍保留来源身份</w:t>
            </w:r>
          </w:p>
        </w:tc>
        <w:tc>
          <w:tcPr>
            <w:tcW w:type="dxa" w:w="266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record_origin 和 SOURCE_BANNER</w:t>
            </w:r>
          </w:p>
        </w:tc>
      </w:tr>
      <w:tr>
        <w:tc>
          <w:tcPr>
            <w:tcW w:type="dxa" w:w="170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主张级处置</w:t>
            </w:r>
          </w:p>
        </w:tc>
        <w:tc>
          <w:tcPr>
            <w:tcW w:type="dxa" w:w="425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按标题 列表项和段落拆分后分别判断</w:t>
            </w:r>
          </w:p>
        </w:tc>
        <w:tc>
          <w:tcPr>
            <w:tcW w:type="dxa" w:w="266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split_units 和 assess_unit</w:t>
            </w:r>
          </w:p>
        </w:tc>
      </w:tr>
      <w:tr>
        <w:tc>
          <w:tcPr>
            <w:tcW w:type="dxa" w:w="170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落盘一致性</w:t>
            </w:r>
          </w:p>
        </w:tc>
        <w:tc>
          <w:tcPr>
            <w:tcW w:type="dxa" w:w="425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检查工具执行后实际发生变化的记忆文件</w:t>
            </w:r>
          </w:p>
        </w:tc>
        <w:tc>
          <w:tcPr>
            <w:tcW w:type="dxa" w:w="266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after_tool_call 和 admit</w:t>
            </w:r>
          </w:p>
        </w:tc>
      </w:tr>
      <w:tr>
        <w:tc>
          <w:tcPr>
            <w:tcW w:type="dxa" w:w="170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使用前复核</w:t>
            </w:r>
          </w:p>
        </w:tc>
        <w:tc>
          <w:tcPr>
            <w:tcW w:type="dxa" w:w="425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在后续会话读取前重新投影和过滤</w:t>
            </w:r>
          </w:p>
        </w:tc>
        <w:tc>
          <w:tcPr>
            <w:tcW w:type="dxa" w:w="266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prepare_retrieval</w:t>
            </w:r>
          </w:p>
        </w:tc>
      </w:tr>
      <w:tr>
        <w:tc>
          <w:tcPr>
            <w:tcW w:type="dxa" w:w="170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动作授权绑定</w:t>
            </w:r>
          </w:p>
        </w:tc>
        <w:tc>
          <w:tcPr>
            <w:tcW w:type="dxa" w:w="425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敏感动作必须与当前用户请求和目标相匹配</w:t>
            </w:r>
          </w:p>
        </w:tc>
        <w:tc>
          <w:tcPr>
            <w:tcW w:type="dxa" w:w="266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check_tool 和 tool_gate</w:t>
            </w:r>
          </w:p>
        </w:tc>
      </w:tr>
      <w:tr>
        <w:tc>
          <w:tcPr>
            <w:tcW w:type="dxa" w:w="170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可审计性</w:t>
            </w:r>
          </w:p>
        </w:tc>
        <w:tc>
          <w:tcPr>
            <w:tcW w:type="dxa" w:w="425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策略事件通过前序哈希形成可验证记录</w:t>
            </w:r>
          </w:p>
        </w:tc>
        <w:tc>
          <w:tcPr>
            <w:tcW w:type="dxa" w:w="266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append_audit 和 verify_audit</w:t>
            </w:r>
          </w:p>
        </w:tc>
      </w:tr>
      <w:tr>
        <w:tc>
          <w:tcPr>
            <w:tcW w:type="dxa" w:w="170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故障闭合</w:t>
            </w:r>
          </w:p>
        </w:tc>
        <w:tc>
          <w:tcPr>
            <w:tcW w:type="dxa" w:w="425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策略桥接不可用时阻止受影响操作</w:t>
            </w:r>
          </w:p>
        </w:tc>
        <w:tc>
          <w:tcPr>
            <w:tcW w:type="dxa" w:w="266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OpenClaw 插件错误处理</w:t>
            </w:r>
          </w:p>
        </w:tc>
      </w:tr>
    </w:tbl>
    <w:p>
      <w:pPr>
        <w:spacing w:after="0"/>
      </w:pPr>
    </w:p>
    <w:p>
      <w:pPr>
        <w:pStyle w:val="Heading2"/>
        <w:keepNext/>
      </w:pPr>
      <w:r>
        <w:rPr>
          <w:rFonts w:ascii="Microsoft YaHei" w:hAnsi="Microsoft YaHei" w:eastAsia="Microsoft YaHei"/>
          <w:b/>
          <w:color w:val="000000"/>
          <w:sz w:val="26"/>
        </w:rPr>
        <w:t>非目标</w:t>
      </w:r>
    </w:p>
    <w:p>
      <w:pPr>
        <w:pStyle w:val="ListBullet"/>
      </w:pPr>
      <w:r>
        <w:rPr>
          <w:rFonts w:ascii="Microsoft YaHei" w:hAnsi="Microsoft YaHei" w:eastAsia="Microsoft YaHei"/>
          <w:color w:val="000000"/>
          <w:sz w:val="20"/>
        </w:rPr>
        <w:t>SCMG 不替代操作系统沙箱、网络隔离或平台权限管理。</w:t>
      </w:r>
    </w:p>
    <w:p>
      <w:pPr>
        <w:pStyle w:val="ListBullet"/>
      </w:pPr>
      <w:r>
        <w:rPr>
          <w:rFonts w:ascii="Microsoft YaHei" w:hAnsi="Microsoft YaHei" w:eastAsia="Microsoft YaHei"/>
          <w:color w:val="000000"/>
          <w:sz w:val="20"/>
        </w:rPr>
        <w:t>SCMG 不判断外部事实是否真实，它判断来源、表达方式和当前用途是否支持持久化或执行。</w:t>
      </w:r>
    </w:p>
    <w:p>
      <w:pPr>
        <w:pStyle w:val="ListBullet"/>
      </w:pPr>
      <w:r>
        <w:rPr>
          <w:rFonts w:ascii="Microsoft YaHei" w:hAnsi="Microsoft YaHei" w:eastAsia="Microsoft YaHei"/>
          <w:color w:val="000000"/>
          <w:sz w:val="20"/>
        </w:rPr>
        <w:t>SCMG 不自动覆盖未接入的记忆后端或工具，新增通道需要显式适配。</w:t>
      </w:r>
    </w:p>
    <w:p>
      <w:pPr>
        <w:pStyle w:val="ListBullet"/>
      </w:pPr>
      <w:r>
        <w:rPr>
          <w:rFonts w:ascii="Microsoft YaHei" w:hAnsi="Microsoft YaHei" w:eastAsia="Microsoft YaHei"/>
          <w:color w:val="000000"/>
          <w:sz w:val="20"/>
        </w:rPr>
        <w:t>评测辅助函数不执行模型调用，也不生成研究结论。</w:t>
      </w:r>
    </w:p>
    <w:p>
      <w:r>
        <w:br w:type="page"/>
      </w:r>
    </w:p>
    <w:p>
      <w:pPr>
        <w:pStyle w:val="Heading1"/>
        <w:keepNext/>
      </w:pPr>
      <w:r>
        <w:rPr>
          <w:rFonts w:ascii="Microsoft YaHei" w:hAnsi="Microsoft YaHei" w:eastAsia="Microsoft YaHei"/>
          <w:b/>
          <w:color w:val="000000"/>
          <w:sz w:val="32"/>
        </w:rPr>
        <w:t>二 系统架构与处理流程</w:t>
      </w:r>
    </w:p>
    <w:p>
      <w:pPr>
        <w:pStyle w:val="Heading2"/>
        <w:keepNext/>
      </w:pPr>
      <w:r>
        <w:rPr>
          <w:rFonts w:ascii="Microsoft YaHei" w:hAnsi="Microsoft YaHei" w:eastAsia="Microsoft YaHei"/>
          <w:b/>
          <w:color w:val="000000"/>
          <w:sz w:val="26"/>
        </w:rPr>
        <w:t>组件关系</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rPr>
          <w:tblHeader w:val="true"/>
        </w:trPr>
        <w:tc>
          <w:tcPr>
            <w:tcW w:type="dxa" w:w="1247"/>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层次</w:t>
            </w:r>
          </w:p>
        </w:tc>
        <w:tc>
          <w:tcPr>
            <w:tcW w:type="dxa" w:w="1871"/>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组件</w:t>
            </w:r>
          </w:p>
        </w:tc>
        <w:tc>
          <w:tcPr>
            <w:tcW w:type="dxa" w:w="2948"/>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输入</w:t>
            </w:r>
          </w:p>
        </w:tc>
        <w:tc>
          <w:tcPr>
            <w:tcW w:type="dxa" w:w="2551"/>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输出</w:t>
            </w:r>
          </w:p>
        </w:tc>
      </w:tr>
      <w:tr>
        <w:tc>
          <w:tcPr>
            <w:tcW w:type="dxa" w:w="1247"/>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Agent 层</w:t>
            </w:r>
          </w:p>
        </w:tc>
        <w:tc>
          <w:tcPr>
            <w:tcW w:type="dxa" w:w="187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OpenClaw 插件</w:t>
            </w:r>
          </w:p>
        </w:tc>
        <w:tc>
          <w:tcPr>
            <w:tcW w:type="dxa" w:w="294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生命周期事件和工具参数</w:t>
            </w:r>
          </w:p>
        </w:tc>
        <w:tc>
          <w:tcPr>
            <w:tcW w:type="dxa" w:w="255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上下文补充 阻止决定 参数改写</w:t>
            </w:r>
          </w:p>
        </w:tc>
      </w:tr>
      <w:tr>
        <w:tc>
          <w:tcPr>
            <w:tcW w:type="dxa" w:w="1247"/>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桥接层</w:t>
            </w:r>
          </w:p>
        </w:tc>
        <w:tc>
          <w:tcPr>
            <w:tcW w:type="dxa" w:w="187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scmg.bridge</w:t>
            </w:r>
          </w:p>
        </w:tc>
        <w:tc>
          <w:tcPr>
            <w:tcW w:type="dxa" w:w="294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标准输入 JSON</w:t>
            </w:r>
          </w:p>
        </w:tc>
        <w:tc>
          <w:tcPr>
            <w:tcW w:type="dxa" w:w="255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标准输出 JSON 和审计文件</w:t>
            </w:r>
          </w:p>
        </w:tc>
      </w:tr>
      <w:tr>
        <w:tc>
          <w:tcPr>
            <w:tcW w:type="dxa" w:w="1247"/>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策略层</w:t>
            </w:r>
          </w:p>
        </w:tc>
        <w:tc>
          <w:tcPr>
            <w:tcW w:type="dxa" w:w="187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scmg.policy</w:t>
            </w:r>
          </w:p>
        </w:tc>
        <w:tc>
          <w:tcPr>
            <w:tcW w:type="dxa" w:w="294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请求 材料 候选主张 工具调用</w:t>
            </w:r>
          </w:p>
        </w:tc>
        <w:tc>
          <w:tcPr>
            <w:tcW w:type="dxa" w:w="255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逐主张决定 安全投影 工具判断</w:t>
            </w:r>
          </w:p>
        </w:tc>
      </w:tr>
      <w:tr>
        <w:tc>
          <w:tcPr>
            <w:tcW w:type="dxa" w:w="1247"/>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评测层</w:t>
            </w:r>
          </w:p>
        </w:tc>
        <w:tc>
          <w:tcPr>
            <w:tcW w:type="dxa" w:w="187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scmg.evaluation</w:t>
            </w:r>
          </w:p>
        </w:tc>
        <w:tc>
          <w:tcPr>
            <w:tcW w:type="dxa" w:w="294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结构化结果行</w:t>
            </w:r>
          </w:p>
        </w:tc>
        <w:tc>
          <w:tcPr>
            <w:tcW w:type="dxa" w:w="255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带明确分母的聚合结果</w:t>
            </w:r>
          </w:p>
        </w:tc>
      </w:tr>
    </w:tbl>
    <w:p>
      <w:pPr>
        <w:spacing w:after="0"/>
      </w:pPr>
    </w:p>
    <w:p>
      <w:pPr>
        <w:pStyle w:val="Heading2"/>
        <w:keepNext/>
      </w:pPr>
      <w:r>
        <w:rPr>
          <w:rFonts w:ascii="Microsoft YaHei" w:hAnsi="Microsoft YaHei" w:eastAsia="Microsoft YaHei"/>
          <w:b/>
          <w:color w:val="000000"/>
          <w:sz w:val="26"/>
        </w:rPr>
        <w:t>写入阶段</w:t>
      </w:r>
    </w:p>
    <w:p>
      <w:pPr>
        <w:pStyle w:val="ListNumber"/>
      </w:pPr>
      <w:r>
        <w:rPr>
          <w:rFonts w:ascii="Microsoft YaHei" w:hAnsi="Microsoft YaHei" w:eastAsia="Microsoft YaHei"/>
          <w:color w:val="000000"/>
          <w:sz w:val="20"/>
        </w:rPr>
        <w:t>插件在 agent_turn_prepare 阶段调用 bind_origin，固定当前请求与外部材料的哈希。</w:t>
      </w:r>
    </w:p>
    <w:p>
      <w:pPr>
        <w:pStyle w:val="ListNumber"/>
      </w:pPr>
      <w:r>
        <w:rPr>
          <w:rFonts w:ascii="Microsoft YaHei" w:hAnsi="Microsoft YaHei" w:eastAsia="Microsoft YaHei"/>
          <w:color w:val="000000"/>
          <w:sz w:val="20"/>
        </w:rPr>
        <w:t>Agent 准备写入 MEMORY.md 或 memory 目录中的 Markdown 文件时，before_tool_call 调用 preflight。</w:t>
      </w:r>
    </w:p>
    <w:p>
      <w:pPr>
        <w:pStyle w:val="ListNumber"/>
      </w:pPr>
      <w:r>
        <w:rPr>
          <w:rFonts w:ascii="Microsoft YaHei" w:hAnsi="Microsoft YaHei" w:eastAsia="Microsoft YaHei"/>
          <w:color w:val="000000"/>
          <w:sz w:val="20"/>
        </w:rPr>
        <w:t>策略把候选内容拆成主张，逐条判断后生成 projected 字段。</w:t>
      </w:r>
    </w:p>
    <w:p>
      <w:pPr>
        <w:pStyle w:val="ListNumber"/>
      </w:pPr>
      <w:r>
        <w:rPr>
          <w:rFonts w:ascii="Microsoft YaHei" w:hAnsi="Microsoft YaHei" w:eastAsia="Microsoft YaHei"/>
          <w:color w:val="000000"/>
          <w:sz w:val="20"/>
        </w:rPr>
        <w:t>如果 write 工具的内容发生变化，插件用 projected 替换原参数；对无法安全局部改写的 edit 操作直接阻止。</w:t>
      </w:r>
    </w:p>
    <w:p>
      <w:pPr>
        <w:pStyle w:val="ListNumber"/>
      </w:pPr>
      <w:r>
        <w:rPr>
          <w:rFonts w:ascii="Microsoft YaHei" w:hAnsi="Microsoft YaHei" w:eastAsia="Microsoft YaHei"/>
          <w:color w:val="000000"/>
          <w:sz w:val="20"/>
        </w:rPr>
        <w:t>工具返回后，after_tool_call 比较记忆文件快照并调用 admit，对实际落盘内容再次检查。</w:t>
      </w:r>
    </w:p>
    <w:p>
      <w:pPr>
        <w:pStyle w:val="ListNumber"/>
      </w:pPr>
      <w:r>
        <w:rPr>
          <w:rFonts w:ascii="Microsoft YaHei" w:hAnsi="Microsoft YaHei" w:eastAsia="Microsoft YaHei"/>
          <w:color w:val="000000"/>
          <w:sz w:val="20"/>
        </w:rPr>
        <w:t>桥接层记录候选数量、隔离主张、被中和目标、文件哈希和改写文件数。</w:t>
      </w:r>
    </w:p>
    <w:p>
      <w:pPr>
        <w:pStyle w:val="Heading2"/>
        <w:keepNext/>
      </w:pPr>
      <w:r>
        <w:rPr>
          <w:rFonts w:ascii="Microsoft YaHei" w:hAnsi="Microsoft YaHei" w:eastAsia="Microsoft YaHei"/>
          <w:b/>
          <w:color w:val="000000"/>
          <w:sz w:val="26"/>
        </w:rPr>
        <w:t>后续使用阶段</w:t>
      </w:r>
    </w:p>
    <w:p>
      <w:pPr>
        <w:pStyle w:val="ListNumber"/>
      </w:pPr>
      <w:r>
        <w:rPr>
          <w:rFonts w:ascii="Microsoft YaHei" w:hAnsi="Microsoft YaHei" w:eastAsia="Microsoft YaHei"/>
          <w:color w:val="000000"/>
          <w:sz w:val="20"/>
        </w:rPr>
        <w:t>插件确认本次会话处于 retrieval 阶段，并验证已存在的审计链。</w:t>
      </w:r>
    </w:p>
    <w:p>
      <w:pPr>
        <w:pStyle w:val="ListNumber"/>
      </w:pPr>
      <w:r>
        <w:rPr>
          <w:rFonts w:ascii="Microsoft YaHei" w:hAnsi="Microsoft YaHei" w:eastAsia="Microsoft YaHei"/>
          <w:color w:val="000000"/>
          <w:sz w:val="20"/>
        </w:rPr>
        <w:t>prepare_retrieval 读取受管理的持久记忆文件，并按当前策略重新投影。</w:t>
      </w:r>
    </w:p>
    <w:p>
      <w:pPr>
        <w:pStyle w:val="ListNumber"/>
      </w:pPr>
      <w:r>
        <w:rPr>
          <w:rFonts w:ascii="Microsoft YaHei" w:hAnsi="Microsoft YaHei" w:eastAsia="Microsoft YaHei"/>
          <w:color w:val="000000"/>
          <w:sz w:val="20"/>
        </w:rPr>
        <w:t>rank_candidates 排除不可用候选，再按后续查询与主张的词项交集排序。</w:t>
      </w:r>
    </w:p>
    <w:p>
      <w:pPr>
        <w:pStyle w:val="ListNumber"/>
      </w:pPr>
      <w:r>
        <w:rPr>
          <w:rFonts w:ascii="Microsoft YaHei" w:hAnsi="Microsoft YaHei" w:eastAsia="Microsoft YaHei"/>
          <w:color w:val="000000"/>
          <w:sz w:val="20"/>
        </w:rPr>
        <w:t>render_context 将入选主张包装为带 claim_id 和来源类型的 memory 元素。</w:t>
      </w:r>
    </w:p>
    <w:p>
      <w:pPr>
        <w:pStyle w:val="ListNumber"/>
      </w:pPr>
      <w:r>
        <w:rPr>
          <w:rFonts w:ascii="Microsoft YaHei" w:hAnsi="Microsoft YaHei" w:eastAsia="Microsoft YaHei"/>
          <w:color w:val="000000"/>
          <w:sz w:val="20"/>
        </w:rPr>
        <w:t>插件把该上下文附加到当前会话，同时阻止原生 memory_search 和 memory_get 绕过验证投影。</w:t>
      </w:r>
    </w:p>
    <w:p>
      <w:pPr>
        <w:pStyle w:val="ListNumber"/>
      </w:pPr>
      <w:r>
        <w:rPr>
          <w:rFonts w:ascii="Microsoft YaHei" w:hAnsi="Microsoft YaHei" w:eastAsia="Microsoft YaHei"/>
          <w:color w:val="000000"/>
          <w:sz w:val="20"/>
        </w:rPr>
        <w:t>before_agent_reply 对最终回答再次检查；需要修订时返回来源约束说明。</w:t>
      </w:r>
    </w:p>
    <w:p>
      <w:pPr>
        <w:pStyle w:val="Heading2"/>
        <w:keepNext/>
      </w:pPr>
      <w:r>
        <w:rPr>
          <w:rFonts w:ascii="Microsoft YaHei" w:hAnsi="Microsoft YaHei" w:eastAsia="Microsoft YaHei"/>
          <w:b/>
          <w:color w:val="000000"/>
          <w:sz w:val="26"/>
        </w:rPr>
        <w:t>工具调用阶段</w:t>
      </w:r>
    </w:p>
    <w:p>
      <w:pPr>
        <w:pStyle w:val="BodyText"/>
      </w:pPr>
      <w:r>
        <w:rPr>
          <w:rFonts w:ascii="Microsoft YaHei" w:hAnsi="Microsoft YaHei" w:eastAsia="Microsoft YaHei"/>
          <w:color w:val="000000"/>
          <w:sz w:val="21"/>
        </w:rPr>
        <w:t>工具门禁只在记录包含外部材料时增加来源约束。它检查定时任务、消息目标、受保护引导文件以及明显的网络写入命令。消息和网络目标必须在当前用户请求中出现，并且请求中必须包含相应动作。直接用户上下文则按当前实现放行。</w:t>
      </w:r>
    </w:p>
    <w:p>
      <w:pPr>
        <w:pStyle w:val="Heading1"/>
        <w:keepNext/>
      </w:pPr>
      <w:r>
        <w:rPr>
          <w:rFonts w:ascii="Microsoft YaHei" w:hAnsi="Microsoft YaHei" w:eastAsia="Microsoft YaHei"/>
          <w:b/>
          <w:color w:val="000000"/>
          <w:sz w:val="32"/>
        </w:rPr>
        <w:t>三 仓库结构与文件职责</w:t>
      </w:r>
    </w:p>
    <w:p>
      <w:pPr>
        <w:pStyle w:val="CodeBlock"/>
        <w:keepLines/>
        <w:shd w:fill="F3F4F6"/>
      </w:pPr>
      <w:r>
        <w:rPr>
          <w:rFonts w:ascii="Consolas" w:hAnsi="Consolas" w:eastAsia="Consolas"/>
          <w:color w:val="000000"/>
          <w:sz w:val="17"/>
        </w:rPr>
        <w:t>SCMG/</w:t>
        <w:br/>
        <w:t>├── .gitattributes</w:t>
        <w:br/>
        <w:t>├── .gitignore</w:t>
        <w:br/>
        <w:t>├── README.md</w:t>
        <w:br/>
        <w:t>├── README_ZH.md</w:t>
        <w:br/>
        <w:t>├── pyproject.toml</w:t>
        <w:br/>
        <w:t>├── src/scmg/</w:t>
        <w:br/>
        <w:t>│   ├── __init__.py</w:t>
        <w:br/>
        <w:t>│   ├── policy.py</w:t>
        <w:br/>
        <w:t>│   ├── bridge.py</w:t>
        <w:br/>
        <w:t>│   └── evaluation.py</w:t>
        <w:br/>
        <w:t>├── plugins/openclaw/</w:t>
        <w:br/>
        <w:t>│   ├── index.mjs</w:t>
        <w:br/>
        <w:t>│   ├── openclaw.plugin.json</w:t>
        <w:br/>
        <w:t>│   └── package.json</w:t>
        <w:br/>
        <w:t>├── examples/</w:t>
        <w:br/>
        <w:t>│   ├── record.json</w:t>
        <w:br/>
        <w:t>│   ├── evaluation_rows.jsonl</w:t>
        <w:br/>
        <w:t>│   └── workspace/MEMORY.md</w:t>
        <w:br/>
        <w:t>├── tests/</w:t>
        <w:br/>
        <w:t>│   ├── test_policy.py</w:t>
        <w:br/>
        <w:t>│   ├── test_bridge.py</w:t>
        <w:br/>
        <w:t>│   └── test_evaluation.py</w:t>
        <w:br/>
        <w:t>└── docs/</w:t>
        <w:br/>
        <w:t xml:space="preserve">    ├── architecture.md</w:t>
        <w:br/>
        <w:t xml:space="preserve">    ├── usage.md</w:t>
        <w:br/>
        <w:t xml:space="preserve">    ├── REPOSITORY_CONTENTS_ZH.md</w:t>
        <w:br/>
        <w:t xml:space="preserve">    └── SCMG_GitHub仓库详细说明.docx</w:t>
      </w:r>
    </w:p>
    <w:p>
      <w:pPr>
        <w:pStyle w:val="Heading2"/>
        <w:keepNext/>
      </w:pPr>
      <w:r>
        <w:rPr>
          <w:rFonts w:ascii="Microsoft YaHei" w:hAnsi="Microsoft YaHei" w:eastAsia="Microsoft YaHei"/>
          <w:b/>
          <w:color w:val="000000"/>
          <w:sz w:val="26"/>
        </w:rPr>
        <w:t>顶层文件</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1814"/>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文件</w:t>
            </w:r>
          </w:p>
        </w:tc>
        <w:tc>
          <w:tcPr>
            <w:tcW w:type="dxa" w:w="4082"/>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作用</w:t>
            </w:r>
          </w:p>
        </w:tc>
        <w:tc>
          <w:tcPr>
            <w:tcW w:type="dxa" w:w="2721"/>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维护时机</w:t>
            </w:r>
          </w:p>
        </w:tc>
      </w:tr>
      <w:tr>
        <w:tc>
          <w:tcPr>
            <w:tcW w:type="dxa" w:w="1814"/>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README.md</w:t>
            </w:r>
          </w:p>
        </w:tc>
        <w:tc>
          <w:tcPr>
            <w:tcW w:type="dxa" w:w="408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英文项目首页和快速开始</w:t>
            </w:r>
          </w:p>
        </w:tc>
        <w:tc>
          <w:tcPr>
            <w:tcW w:type="dxa" w:w="272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安装方式 接口或范围发生变化时</w:t>
            </w:r>
          </w:p>
        </w:tc>
      </w:tr>
      <w:tr>
        <w:tc>
          <w:tcPr>
            <w:tcW w:type="dxa" w:w="1814"/>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README_ZH.md</w:t>
            </w:r>
          </w:p>
        </w:tc>
        <w:tc>
          <w:tcPr>
            <w:tcW w:type="dxa" w:w="408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中文项目首页和快速开始</w:t>
            </w:r>
          </w:p>
        </w:tc>
        <w:tc>
          <w:tcPr>
            <w:tcW w:type="dxa" w:w="272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与英文首页同步更新</w:t>
            </w:r>
          </w:p>
        </w:tc>
      </w:tr>
      <w:tr>
        <w:tc>
          <w:tcPr>
            <w:tcW w:type="dxa" w:w="1814"/>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pyproject.toml</w:t>
            </w:r>
          </w:p>
        </w:tc>
        <w:tc>
          <w:tcPr>
            <w:tcW w:type="dxa" w:w="408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包名 版本 Python 要求 构建方式和命令行入口</w:t>
            </w:r>
          </w:p>
        </w:tc>
        <w:tc>
          <w:tcPr>
            <w:tcW w:type="dxa" w:w="272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发版或依赖变化时</w:t>
            </w:r>
          </w:p>
        </w:tc>
      </w:tr>
      <w:tr>
        <w:tc>
          <w:tcPr>
            <w:tcW w:type="dxa" w:w="1814"/>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.gitignore</w:t>
            </w:r>
          </w:p>
        </w:tc>
        <w:tc>
          <w:tcPr>
            <w:tcW w:type="dxa" w:w="408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排除缓存 状态 数据库 凭据和本地配置</w:t>
            </w:r>
          </w:p>
        </w:tc>
        <w:tc>
          <w:tcPr>
            <w:tcW w:type="dxa" w:w="272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出现新的运行产物时</w:t>
            </w:r>
          </w:p>
        </w:tc>
      </w:tr>
      <w:tr>
        <w:tc>
          <w:tcPr>
            <w:tcW w:type="dxa" w:w="1814"/>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.gitattributes</w:t>
            </w:r>
          </w:p>
        </w:tc>
        <w:tc>
          <w:tcPr>
            <w:tcW w:type="dxa" w:w="408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统一文本文件换行格式</w:t>
            </w:r>
          </w:p>
        </w:tc>
        <w:tc>
          <w:tcPr>
            <w:tcW w:type="dxa" w:w="272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通常无需修改</w:t>
            </w:r>
          </w:p>
        </w:tc>
      </w:tr>
    </w:tbl>
    <w:p>
      <w:pPr>
        <w:spacing w:after="0"/>
      </w:pPr>
    </w:p>
    <w:p>
      <w:pPr>
        <w:pStyle w:val="Heading2"/>
        <w:keepNext/>
      </w:pPr>
      <w:r>
        <w:rPr>
          <w:rFonts w:ascii="Microsoft YaHei" w:hAnsi="Microsoft YaHei" w:eastAsia="Microsoft YaHei"/>
          <w:b/>
          <w:color w:val="000000"/>
          <w:sz w:val="26"/>
        </w:rPr>
        <w:t>上传内容边界</w:t>
      </w:r>
    </w:p>
    <w:p>
      <w:pPr>
        <w:pStyle w:val="BodyText"/>
      </w:pPr>
      <w:r>
        <w:rPr>
          <w:rFonts w:ascii="Microsoft YaHei" w:hAnsi="Microsoft YaHei" w:eastAsia="Microsoft YaHei"/>
          <w:color w:val="000000"/>
          <w:sz w:val="21"/>
        </w:rPr>
        <w:t>仓库上传的是方法实现、集成接口、测试和说明文档。模型密钥、认证文件、本地数据库、Agent 会话状态、运行日志和大型生成产物不属于公开仓库。示例数据为独立合成内容，只用于说明字段和处理流程。</w:t>
      </w:r>
    </w:p>
    <w:p>
      <w:r>
        <w:br w:type="page"/>
      </w:r>
    </w:p>
    <w:p>
      <w:pPr>
        <w:pStyle w:val="Heading1"/>
        <w:keepNext/>
      </w:pPr>
      <w:r>
        <w:rPr>
          <w:rFonts w:ascii="Microsoft YaHei" w:hAnsi="Microsoft YaHei" w:eastAsia="Microsoft YaHei"/>
          <w:b/>
          <w:color w:val="000000"/>
          <w:sz w:val="32"/>
        </w:rPr>
        <w:t>四 核心 Python 包</w:t>
      </w:r>
    </w:p>
    <w:p>
      <w:pPr>
        <w:pStyle w:val="Heading2"/>
        <w:keepNext/>
      </w:pPr>
      <w:r>
        <w:rPr>
          <w:rFonts w:ascii="Microsoft YaHei" w:hAnsi="Microsoft YaHei" w:eastAsia="Microsoft YaHei"/>
          <w:b/>
          <w:color w:val="000000"/>
          <w:sz w:val="26"/>
        </w:rPr>
        <w:t>策略模块</w:t>
      </w:r>
    </w:p>
    <w:p>
      <w:pPr>
        <w:pStyle w:val="BodyText"/>
      </w:pPr>
      <w:r>
        <w:rPr>
          <w:rFonts w:ascii="Microsoft YaHei" w:hAnsi="Microsoft YaHei" w:eastAsia="Microsoft YaHei"/>
          <w:color w:val="000000"/>
          <w:sz w:val="21"/>
        </w:rPr>
        <w:t>policy.py 是 SCMG 的核心实现。所有判断均由当前运行信息和候选内容产生，不依赖评测标签或期望输出。策略版本由 POLICY_VERSION 标识，并写入每一条审计事件。</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2098"/>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函数或常量</w:t>
            </w:r>
          </w:p>
        </w:tc>
        <w:tc>
          <w:tcPr>
            <w:tcW w:type="dxa" w:w="2608"/>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输入</w:t>
            </w:r>
          </w:p>
        </w:tc>
        <w:tc>
          <w:tcPr>
            <w:tcW w:type="dxa" w:w="3912"/>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输出与职责</w:t>
            </w:r>
          </w:p>
        </w:tc>
      </w:tr>
      <w:tr>
        <w:tc>
          <w:tcPr>
            <w:tcW w:type="dxa" w:w="209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POLICY_VERSION</w:t>
            </w:r>
          </w:p>
        </w:tc>
        <w:tc>
          <w:tcPr>
            <w:tcW w:type="dxa" w:w="260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无</w:t>
            </w:r>
          </w:p>
        </w:tc>
        <w:tc>
          <w:tcPr>
            <w:tcW w:type="dxa" w:w="391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标识当前策略版本</w:t>
            </w:r>
          </w:p>
        </w:tc>
      </w:tr>
      <w:tr>
        <w:tc>
          <w:tcPr>
            <w:tcW w:type="dxa" w:w="209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record_origin</w:t>
            </w:r>
          </w:p>
        </w:tc>
        <w:tc>
          <w:tcPr>
            <w:tcW w:type="dxa" w:w="260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user_query 和 context</w:t>
            </w:r>
          </w:p>
        </w:tc>
        <w:tc>
          <w:tcPr>
            <w:tcW w:type="dxa" w:w="391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两路 SHA-256 来源类型和策略版本</w:t>
            </w:r>
          </w:p>
        </w:tc>
      </w:tr>
      <w:tr>
        <w:tc>
          <w:tcPr>
            <w:tcW w:type="dxa" w:w="209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split_units</w:t>
            </w:r>
          </w:p>
        </w:tc>
        <w:tc>
          <w:tcPr>
            <w:tcW w:type="dxa" w:w="260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Markdown 文本</w:t>
            </w:r>
          </w:p>
        </w:tc>
        <w:tc>
          <w:tcPr>
            <w:tcW w:type="dxa" w:w="391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按结构拆分的候选主张列表</w:t>
            </w:r>
          </w:p>
        </w:tc>
      </w:tr>
      <w:tr>
        <w:tc>
          <w:tcPr>
            <w:tcW w:type="dxa" w:w="209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assess_unit</w:t>
            </w:r>
          </w:p>
        </w:tc>
        <w:tc>
          <w:tcPr>
            <w:tcW w:type="dxa" w:w="260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单条主张和运行记录</w:t>
            </w:r>
          </w:p>
        </w:tc>
        <w:tc>
          <w:tcPr>
            <w:tcW w:type="dxa" w:w="391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主张类型 语用类型 决定 来源和风险信号</w:t>
            </w:r>
          </w:p>
        </w:tc>
      </w:tr>
      <w:tr>
        <w:tc>
          <w:tcPr>
            <w:tcW w:type="dxa" w:w="209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project_memory</w:t>
            </w:r>
          </w:p>
        </w:tc>
        <w:tc>
          <w:tcPr>
            <w:tcW w:type="dxa" w:w="260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完整记忆文本和运行记录</w:t>
            </w:r>
          </w:p>
        </w:tc>
        <w:tc>
          <w:tcPr>
            <w:tcW w:type="dxa" w:w="391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安全投影和逐主张决定</w:t>
            </w:r>
          </w:p>
        </w:tc>
      </w:tr>
      <w:tr>
        <w:tc>
          <w:tcPr>
            <w:tcW w:type="dxa" w:w="209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check_tool</w:t>
            </w:r>
          </w:p>
        </w:tc>
        <w:tc>
          <w:tcPr>
            <w:tcW w:type="dxa" w:w="260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工具 参数 阶段 记录 工作区</w:t>
            </w:r>
          </w:p>
        </w:tc>
        <w:tc>
          <w:tcPr>
            <w:tcW w:type="dxa" w:w="391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allowed 和 rule</w:t>
            </w:r>
          </w:p>
        </w:tc>
      </w:tr>
      <w:tr>
        <w:tc>
          <w:tcPr>
            <w:tcW w:type="dxa" w:w="209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rank_candidates</w:t>
            </w:r>
          </w:p>
        </w:tc>
        <w:tc>
          <w:tcPr>
            <w:tcW w:type="dxa" w:w="260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候选列表 查询和数量上限</w:t>
            </w:r>
          </w:p>
        </w:tc>
        <w:tc>
          <w:tcPr>
            <w:tcW w:type="dxa" w:w="391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过滤并排序后的候选</w:t>
            </w:r>
          </w:p>
        </w:tc>
      </w:tr>
      <w:tr>
        <w:tc>
          <w:tcPr>
            <w:tcW w:type="dxa" w:w="209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render_context</w:t>
            </w:r>
          </w:p>
        </w:tc>
        <w:tc>
          <w:tcPr>
            <w:tcW w:type="dxa" w:w="260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查询和候选</w:t>
            </w:r>
          </w:p>
        </w:tc>
        <w:tc>
          <w:tcPr>
            <w:tcW w:type="dxa" w:w="391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带来源标记的模型上下文</w:t>
            </w:r>
          </w:p>
        </w:tc>
      </w:tr>
      <w:tr>
        <w:tc>
          <w:tcPr>
            <w:tcW w:type="dxa" w:w="209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append_audit</w:t>
            </w:r>
          </w:p>
        </w:tc>
        <w:tc>
          <w:tcPr>
            <w:tcW w:type="dxa" w:w="260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状态目录和事件</w:t>
            </w:r>
          </w:p>
        </w:tc>
        <w:tc>
          <w:tcPr>
            <w:tcW w:type="dxa" w:w="391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带 previous_hash 和 hash 的审计行</w:t>
            </w:r>
          </w:p>
        </w:tc>
      </w:tr>
      <w:tr>
        <w:tc>
          <w:tcPr>
            <w:tcW w:type="dxa" w:w="209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verify_audit</w:t>
            </w:r>
          </w:p>
        </w:tc>
        <w:tc>
          <w:tcPr>
            <w:tcW w:type="dxa" w:w="260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audit.jsonl 路径</w:t>
            </w:r>
          </w:p>
        </w:tc>
        <w:tc>
          <w:tcPr>
            <w:tcW w:type="dxa" w:w="391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审计链是否完整</w:t>
            </w:r>
          </w:p>
        </w:tc>
      </w:tr>
    </w:tbl>
    <w:p>
      <w:pPr>
        <w:spacing w:after="0"/>
      </w:pPr>
    </w:p>
    <w:p>
      <w:pPr>
        <w:pStyle w:val="Heading2"/>
        <w:keepNext/>
      </w:pPr>
      <w:r>
        <w:rPr>
          <w:rFonts w:ascii="Microsoft YaHei" w:hAnsi="Microsoft YaHei" w:eastAsia="Microsoft YaHei"/>
          <w:b/>
          <w:color w:val="000000"/>
          <w:sz w:val="26"/>
        </w:rPr>
        <w:t>主张决定</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2324"/>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决定</w:t>
            </w:r>
          </w:p>
        </w:tc>
        <w:tc>
          <w:tcPr>
            <w:tcW w:type="dxa" w:w="3515"/>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含义</w:t>
            </w:r>
          </w:p>
        </w:tc>
        <w:tc>
          <w:tcPr>
            <w:tcW w:type="dxa" w:w="2778"/>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投影结果</w:t>
            </w:r>
          </w:p>
        </w:tc>
      </w:tr>
      <w:tr>
        <w:tc>
          <w:tcPr>
            <w:tcW w:type="dxa" w:w="2324"/>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allow_direct_user</w:t>
            </w:r>
          </w:p>
        </w:tc>
        <w:tc>
          <w:tcPr>
            <w:tcW w:type="dxa" w:w="351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内容来自当前直接用户请求</w:t>
            </w:r>
          </w:p>
        </w:tc>
        <w:tc>
          <w:tcPr>
            <w:tcW w:type="dxa" w:w="277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保留原文</w:t>
            </w:r>
          </w:p>
        </w:tc>
      </w:tr>
      <w:tr>
        <w:tc>
          <w:tcPr>
            <w:tcW w:type="dxa" w:w="2324"/>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allow_attributed_fact</w:t>
            </w:r>
          </w:p>
        </w:tc>
        <w:tc>
          <w:tcPr>
            <w:tcW w:type="dxa" w:w="351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外部材料中的描述性事实</w:t>
            </w:r>
          </w:p>
        </w:tc>
        <w:tc>
          <w:tcPr>
            <w:tcW w:type="dxa" w:w="277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保留并添加外部来源横幅</w:t>
            </w:r>
          </w:p>
        </w:tc>
      </w:tr>
      <w:tr>
        <w:tc>
          <w:tcPr>
            <w:tcW w:type="dxa" w:w="2324"/>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allow_attributed_warning</w:t>
            </w:r>
          </w:p>
        </w:tc>
        <w:tc>
          <w:tcPr>
            <w:tcW w:type="dxa" w:w="351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明确的拒绝或警告表达</w:t>
            </w:r>
          </w:p>
        </w:tc>
        <w:tc>
          <w:tcPr>
            <w:tcW w:type="dxa" w:w="277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保留为带来源警告</w:t>
            </w:r>
          </w:p>
        </w:tc>
      </w:tr>
      <w:tr>
        <w:tc>
          <w:tcPr>
            <w:tcW w:type="dxa" w:w="2324"/>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rewrite_as_external_heading</w:t>
            </w:r>
          </w:p>
        </w:tc>
        <w:tc>
          <w:tcPr>
            <w:tcW w:type="dxa" w:w="351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外部材料使用权威性标题</w:t>
            </w:r>
          </w:p>
        </w:tc>
        <w:tc>
          <w:tcPr>
            <w:tcW w:type="dxa" w:w="277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改为 External source observations</w:t>
            </w:r>
          </w:p>
        </w:tc>
      </w:tr>
      <w:tr>
        <w:tc>
          <w:tcPr>
            <w:tcW w:type="dxa" w:w="2324"/>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neutralize_external_destination</w:t>
            </w:r>
          </w:p>
        </w:tc>
        <w:tc>
          <w:tcPr>
            <w:tcW w:type="dxa" w:w="351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外部材料给出未授权动作目标</w:t>
            </w:r>
          </w:p>
        </w:tc>
        <w:tc>
          <w:tcPr>
            <w:tcW w:type="dxa" w:w="277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目标替换为待直接授权占位符</w:t>
            </w:r>
          </w:p>
        </w:tc>
      </w:tr>
      <w:tr>
        <w:tc>
          <w:tcPr>
            <w:tcW w:type="dxa" w:w="2324"/>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quarantine_external_authority</w:t>
            </w:r>
          </w:p>
        </w:tc>
        <w:tc>
          <w:tcPr>
            <w:tcW w:type="dxa" w:w="351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外部规则 绕过要求或高风险指令</w:t>
            </w:r>
          </w:p>
        </w:tc>
        <w:tc>
          <w:tcPr>
            <w:tcW w:type="dxa" w:w="277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不进入安全投影</w:t>
            </w:r>
          </w:p>
        </w:tc>
      </w:tr>
    </w:tbl>
    <w:p>
      <w:pPr>
        <w:spacing w:after="0"/>
      </w:pPr>
    </w:p>
    <w:p>
      <w:pPr>
        <w:pStyle w:val="Heading2"/>
        <w:keepNext/>
      </w:pPr>
      <w:r>
        <w:rPr>
          <w:rFonts w:ascii="Microsoft YaHei" w:hAnsi="Microsoft YaHei" w:eastAsia="Microsoft YaHei"/>
          <w:b/>
          <w:color w:val="000000"/>
          <w:sz w:val="26"/>
        </w:rPr>
        <w:t>风险信号</w:t>
      </w:r>
    </w:p>
    <w:p>
      <w:pPr>
        <w:pStyle w:val="BodyText"/>
      </w:pPr>
      <w:r>
        <w:rPr>
          <w:rFonts w:ascii="Microsoft YaHei" w:hAnsi="Microsoft YaHei" w:eastAsia="Microsoft YaHei"/>
          <w:color w:val="000000"/>
          <w:sz w:val="21"/>
        </w:rPr>
        <w:t>当前策略使用确定性正则表达式识别指令、动作、权威声明、外部目标、验证绕过和网络写入。外部来源会增加风险分值。明确警告优先作为警告保留；权威规则或达到阈值的高风险指令被隔离；普通外部动作目标在未获得当前请求授权时被中和。</w:t>
      </w:r>
    </w:p>
    <w:p>
      <w:pPr>
        <w:pStyle w:val="Heading2"/>
        <w:keepNext/>
      </w:pPr>
      <w:r>
        <w:rPr>
          <w:rFonts w:ascii="Microsoft YaHei" w:hAnsi="Microsoft YaHei" w:eastAsia="Microsoft YaHei"/>
          <w:b/>
          <w:color w:val="000000"/>
          <w:sz w:val="26"/>
        </w:rPr>
        <w:t>桥接模块</w:t>
      </w:r>
    </w:p>
    <w:p>
      <w:pPr>
        <w:pStyle w:val="BodyText"/>
      </w:pPr>
      <w:r>
        <w:rPr>
          <w:rFonts w:ascii="Microsoft YaHei" w:hAnsi="Microsoft YaHei" w:eastAsia="Microsoft YaHei"/>
          <w:color w:val="000000"/>
          <w:sz w:val="21"/>
        </w:rPr>
        <w:t>bridge.py 为插件和其他 Agent 提供同步 JSON 接口。execute 函数是统一分发入口，命令行 scmg-bridge ACTION 从标准输入读取载荷并将结果写到标准输出。</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2041"/>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动作</w:t>
            </w:r>
          </w:p>
        </w:tc>
        <w:tc>
          <w:tcPr>
            <w:tcW w:type="dxa" w:w="2891"/>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附加输入</w:t>
            </w:r>
          </w:p>
        </w:tc>
        <w:tc>
          <w:tcPr>
            <w:tcW w:type="dxa" w:w="3685"/>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主要输出</w:t>
            </w:r>
          </w:p>
        </w:tc>
      </w:tr>
      <w:tr>
        <w:tc>
          <w:tcPr>
            <w:tcW w:type="dxa" w:w="204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bind_origin</w:t>
            </w:r>
          </w:p>
        </w:tc>
        <w:tc>
          <w:tcPr>
            <w:tcW w:type="dxa" w:w="289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无</w:t>
            </w:r>
          </w:p>
        </w:tc>
        <w:tc>
          <w:tcPr>
            <w:tcW w:type="dxa" w:w="368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origin_id 内容哈希 来源类型</w:t>
            </w:r>
          </w:p>
        </w:tc>
      </w:tr>
      <w:tr>
        <w:tc>
          <w:tcPr>
            <w:tcW w:type="dxa" w:w="204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preflight</w:t>
            </w:r>
          </w:p>
        </w:tc>
        <w:tc>
          <w:tcPr>
            <w:tcW w:type="dxa" w:w="289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content</w:t>
            </w:r>
          </w:p>
        </w:tc>
        <w:tc>
          <w:tcPr>
            <w:tcW w:type="dxa" w:w="368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projected changed 主张数量和主张 ID</w:t>
            </w:r>
          </w:p>
        </w:tc>
      </w:tr>
      <w:tr>
        <w:tc>
          <w:tcPr>
            <w:tcW w:type="dxa" w:w="204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admit</w:t>
            </w:r>
          </w:p>
        </w:tc>
        <w:tc>
          <w:tcPr>
            <w:tcW w:type="dxa" w:w="289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before 和 changed</w:t>
            </w:r>
          </w:p>
        </w:tc>
        <w:tc>
          <w:tcPr>
            <w:tcW w:type="dxa" w:w="368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文件哈希 隔离数量 中和数量和改写文件数</w:t>
            </w:r>
          </w:p>
        </w:tc>
      </w:tr>
      <w:tr>
        <w:tc>
          <w:tcPr>
            <w:tcW w:type="dxa" w:w="204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prepare_retrieval</w:t>
            </w:r>
          </w:p>
        </w:tc>
        <w:tc>
          <w:tcPr>
            <w:tcW w:type="dxa" w:w="289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无</w:t>
            </w:r>
          </w:p>
        </w:tc>
        <w:tc>
          <w:tcPr>
            <w:tcW w:type="dxa" w:w="368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context 候选 ID 过滤数量 文件变化和审计状态</w:t>
            </w:r>
          </w:p>
        </w:tc>
      </w:tr>
      <w:tr>
        <w:tc>
          <w:tcPr>
            <w:tcW w:type="dxa" w:w="204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tool_gate</w:t>
            </w:r>
          </w:p>
        </w:tc>
        <w:tc>
          <w:tcPr>
            <w:tcW w:type="dxa" w:w="289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tool params phase</w:t>
            </w:r>
          </w:p>
        </w:tc>
        <w:tc>
          <w:tcPr>
            <w:tcW w:type="dxa" w:w="368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allowed 和 rule</w:t>
            </w:r>
          </w:p>
        </w:tc>
      </w:tr>
      <w:tr>
        <w:tc>
          <w:tcPr>
            <w:tcW w:type="dxa" w:w="204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final_audit</w:t>
            </w:r>
          </w:p>
        </w:tc>
        <w:tc>
          <w:tcPr>
            <w:tcW w:type="dxa" w:w="289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phase 和 answer</w:t>
            </w:r>
          </w:p>
        </w:tc>
        <w:tc>
          <w:tcPr>
            <w:tcW w:type="dxa" w:w="368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revise 主张类型和语用类型</w:t>
            </w:r>
          </w:p>
        </w:tc>
      </w:tr>
      <w:tr>
        <w:tc>
          <w:tcPr>
            <w:tcW w:type="dxa" w:w="204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verify</w:t>
            </w:r>
          </w:p>
        </w:tc>
        <w:tc>
          <w:tcPr>
            <w:tcW w:type="dxa" w:w="289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无</w:t>
            </w:r>
          </w:p>
        </w:tc>
        <w:tc>
          <w:tcPr>
            <w:tcW w:type="dxa" w:w="368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审计链状态 来源 ID 和来源文件状态</w:t>
            </w:r>
          </w:p>
        </w:tc>
      </w:tr>
    </w:tbl>
    <w:p>
      <w:pPr>
        <w:spacing w:after="0"/>
      </w:pPr>
    </w:p>
    <w:p>
      <w:pPr>
        <w:pStyle w:val="Heading2"/>
        <w:keepNext/>
      </w:pPr>
      <w:r>
        <w:rPr>
          <w:rFonts w:ascii="Microsoft YaHei" w:hAnsi="Microsoft YaHei" w:eastAsia="Microsoft YaHei"/>
          <w:b/>
          <w:color w:val="000000"/>
          <w:sz w:val="26"/>
        </w:rPr>
        <w:t>评测模块</w:t>
      </w:r>
    </w:p>
    <w:p>
      <w:pPr>
        <w:pStyle w:val="BodyText"/>
      </w:pPr>
      <w:r>
        <w:rPr>
          <w:rFonts w:ascii="Microsoft YaHei" w:hAnsi="Microsoft YaHei" w:eastAsia="Microsoft YaHei"/>
          <w:color w:val="000000"/>
          <w:sz w:val="21"/>
        </w:rPr>
        <w:t>evaluation.py 提供 rate 和 summarize 两个函数。summarize 保留 attempted、valid 和 errors 三类数量；write_rate 使用有效行作为分母；conditional_reuse_rate 使用写入阳性行作为分母。分类汇总使用同一套规则。</w:t>
      </w:r>
    </w:p>
    <w:p>
      <w:r>
        <w:br w:type="page"/>
      </w:r>
    </w:p>
    <w:p>
      <w:pPr>
        <w:pStyle w:val="Heading1"/>
        <w:keepNext/>
      </w:pPr>
      <w:r>
        <w:rPr>
          <w:rFonts w:ascii="Microsoft YaHei" w:hAnsi="Microsoft YaHei" w:eastAsia="Microsoft YaHei"/>
          <w:b/>
          <w:color w:val="000000"/>
          <w:sz w:val="32"/>
        </w:rPr>
        <w:t>五 OpenClaw 插件</w:t>
      </w:r>
    </w:p>
    <w:p>
      <w:pPr>
        <w:pStyle w:val="Heading2"/>
        <w:keepNext/>
      </w:pPr>
      <w:r>
        <w:rPr>
          <w:rFonts w:ascii="Microsoft YaHei" w:hAnsi="Microsoft YaHei" w:eastAsia="Microsoft YaHei"/>
          <w:b/>
          <w:color w:val="000000"/>
          <w:sz w:val="26"/>
        </w:rPr>
        <w:t>插件文件</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06"/>
        <w:gridCol w:w="4706"/>
      </w:tblGrid>
      <w:tr>
        <w:trPr>
          <w:tblHeader w:val="true"/>
        </w:trPr>
        <w:tc>
          <w:tcPr>
            <w:tcW w:type="dxa" w:w="2381"/>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文件</w:t>
            </w:r>
          </w:p>
        </w:tc>
        <w:tc>
          <w:tcPr>
            <w:tcW w:type="dxa" w:w="6236"/>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职责</w:t>
            </w:r>
          </w:p>
        </w:tc>
      </w:tr>
      <w:tr>
        <w:tc>
          <w:tcPr>
            <w:tcW w:type="dxa" w:w="238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index.mjs</w:t>
            </w:r>
          </w:p>
        </w:tc>
        <w:tc>
          <w:tcPr>
            <w:tcW w:type="dxa" w:w="623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注册生命周期钩子 调用 Python 桥接 维护文件快照和故障闭合</w:t>
            </w:r>
          </w:p>
        </w:tc>
      </w:tr>
      <w:tr>
        <w:tc>
          <w:tcPr>
            <w:tcW w:type="dxa" w:w="238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openclaw.plugin.json</w:t>
            </w:r>
          </w:p>
        </w:tc>
        <w:tc>
          <w:tcPr>
            <w:tcW w:type="dxa" w:w="623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定义插件 ID 名称 说明 启动方式和配置结构</w:t>
            </w:r>
          </w:p>
        </w:tc>
      </w:tr>
      <w:tr>
        <w:tc>
          <w:tcPr>
            <w:tcW w:type="dxa" w:w="238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package.json</w:t>
            </w:r>
          </w:p>
        </w:tc>
        <w:tc>
          <w:tcPr>
            <w:tcW w:type="dxa" w:w="623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声明 ES Module 包和 OpenClaw 扩展入口</w:t>
            </w:r>
          </w:p>
        </w:tc>
      </w:tr>
    </w:tbl>
    <w:p>
      <w:pPr>
        <w:spacing w:after="0"/>
      </w:pPr>
    </w:p>
    <w:p>
      <w:pPr>
        <w:pStyle w:val="Heading2"/>
        <w:keepNext/>
      </w:pPr>
      <w:r>
        <w:rPr>
          <w:rFonts w:ascii="Microsoft YaHei" w:hAnsi="Microsoft YaHei" w:eastAsia="Microsoft YaHei"/>
          <w:b/>
          <w:color w:val="000000"/>
          <w:sz w:val="26"/>
        </w:rPr>
        <w:t>钩子映射</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rPr>
          <w:tblHeader w:val="true"/>
        </w:trPr>
        <w:tc>
          <w:tcPr>
            <w:tcW w:type="dxa" w:w="1871"/>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钩子</w:t>
            </w:r>
          </w:p>
        </w:tc>
        <w:tc>
          <w:tcPr>
            <w:tcW w:type="dxa" w:w="1928"/>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触发时机</w:t>
            </w:r>
          </w:p>
        </w:tc>
        <w:tc>
          <w:tcPr>
            <w:tcW w:type="dxa" w:w="3061"/>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SCMG 操作</w:t>
            </w:r>
          </w:p>
        </w:tc>
        <w:tc>
          <w:tcPr>
            <w:tcW w:type="dxa" w:w="1757"/>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失败处理</w:t>
            </w:r>
          </w:p>
        </w:tc>
      </w:tr>
      <w:tr>
        <w:tc>
          <w:tcPr>
            <w:tcW w:type="dxa" w:w="187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agent_turn_prepare</w:t>
            </w:r>
          </w:p>
        </w:tc>
        <w:tc>
          <w:tcPr>
            <w:tcW w:type="dxa" w:w="192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Agent 回合准备</w:t>
            </w:r>
          </w:p>
        </w:tc>
        <w:tc>
          <w:tcPr>
            <w:tcW w:type="dxa" w:w="306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绑定来源或准备后续使用上下文</w:t>
            </w:r>
          </w:p>
        </w:tc>
        <w:tc>
          <w:tcPr>
            <w:tcW w:type="dxa" w:w="1757"/>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桥接错误抛出并停止当前路径</w:t>
            </w:r>
          </w:p>
        </w:tc>
      </w:tr>
      <w:tr>
        <w:tc>
          <w:tcPr>
            <w:tcW w:type="dxa" w:w="187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before_tool_call</w:t>
            </w:r>
          </w:p>
        </w:tc>
        <w:tc>
          <w:tcPr>
            <w:tcW w:type="dxa" w:w="192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工具执行前</w:t>
            </w:r>
          </w:p>
        </w:tc>
        <w:tc>
          <w:tcPr>
            <w:tcW w:type="dxa" w:w="306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工具门禁 记忆写前投影 文件快照</w:t>
            </w:r>
          </w:p>
        </w:tc>
        <w:tc>
          <w:tcPr>
            <w:tcW w:type="dxa" w:w="1757"/>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阻止工具并返回原因</w:t>
            </w:r>
          </w:p>
        </w:tc>
      </w:tr>
      <w:tr>
        <w:tc>
          <w:tcPr>
            <w:tcW w:type="dxa" w:w="187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after_tool_call</w:t>
            </w:r>
          </w:p>
        </w:tc>
        <w:tc>
          <w:tcPr>
            <w:tcW w:type="dxa" w:w="192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工具执行后</w:t>
            </w:r>
          </w:p>
        </w:tc>
        <w:tc>
          <w:tcPr>
            <w:tcW w:type="dxa" w:w="306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比较快照并复查实际记忆文件</w:t>
            </w:r>
          </w:p>
        </w:tc>
        <w:tc>
          <w:tcPr>
            <w:tcW w:type="dxa" w:w="1757"/>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桥接错误中止后续处理</w:t>
            </w:r>
          </w:p>
        </w:tc>
      </w:tr>
      <w:tr>
        <w:tc>
          <w:tcPr>
            <w:tcW w:type="dxa" w:w="187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before_agent_reply</w:t>
            </w:r>
          </w:p>
        </w:tc>
        <w:tc>
          <w:tcPr>
            <w:tcW w:type="dxa" w:w="192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回答发送前</w:t>
            </w:r>
          </w:p>
        </w:tc>
        <w:tc>
          <w:tcPr>
            <w:tcW w:type="dxa" w:w="306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检查回答是否错误提升外部主张</w:t>
            </w:r>
          </w:p>
        </w:tc>
        <w:tc>
          <w:tcPr>
            <w:tcW w:type="dxa" w:w="1757"/>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以来源约束说明替换回答</w:t>
            </w:r>
          </w:p>
        </w:tc>
      </w:tr>
      <w:tr>
        <w:tc>
          <w:tcPr>
            <w:tcW w:type="dxa" w:w="187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agent_end</w:t>
            </w:r>
          </w:p>
        </w:tc>
        <w:tc>
          <w:tcPr>
            <w:tcW w:type="dxa" w:w="192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Agent 运行结束</w:t>
            </w:r>
          </w:p>
        </w:tc>
        <w:tc>
          <w:tcPr>
            <w:tcW w:type="dxa" w:w="306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写入插件事件</w:t>
            </w:r>
          </w:p>
        </w:tc>
        <w:tc>
          <w:tcPr>
            <w:tcW w:type="dxa" w:w="1757"/>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无策略改变</w:t>
            </w:r>
          </w:p>
        </w:tc>
      </w:tr>
    </w:tbl>
    <w:p>
      <w:pPr>
        <w:spacing w:after="0"/>
      </w:pPr>
    </w:p>
    <w:p>
      <w:pPr>
        <w:pStyle w:val="Heading2"/>
        <w:keepNext/>
      </w:pPr>
      <w:r>
        <w:rPr>
          <w:rFonts w:ascii="Microsoft YaHei" w:hAnsi="Microsoft YaHei" w:eastAsia="Microsoft YaHei"/>
          <w:b/>
          <w:color w:val="000000"/>
          <w:sz w:val="26"/>
        </w:rPr>
        <w:t>阶段识别</w:t>
      </w:r>
    </w:p>
    <w:p>
      <w:pPr>
        <w:pStyle w:val="BodyText"/>
      </w:pPr>
      <w:r>
        <w:rPr>
          <w:rFonts w:ascii="Microsoft YaHei" w:hAnsi="Microsoft YaHei" w:eastAsia="Microsoft YaHei"/>
          <w:color w:val="000000"/>
          <w:sz w:val="21"/>
        </w:rPr>
        <w:t>插件的 phase 函数根据 sessionKey 中的 -write 和 -retrieval 识别写入阶段与后续使用阶段，并对包含 memory-retrieval phase 的提示作后备识别。接入使用其他会话命名方式的 Agent 时，应先修改该函数并增加相应测试。</w:t>
      </w:r>
    </w:p>
    <w:p>
      <w:pPr>
        <w:pStyle w:val="Heading2"/>
        <w:keepNext/>
      </w:pPr>
      <w:r>
        <w:rPr>
          <w:rFonts w:ascii="Microsoft YaHei" w:hAnsi="Microsoft YaHei" w:eastAsia="Microsoft YaHei"/>
          <w:b/>
          <w:color w:val="000000"/>
          <w:sz w:val="26"/>
        </w:rPr>
        <w:t>受管理记忆文件</w:t>
      </w:r>
    </w:p>
    <w:p>
      <w:pPr>
        <w:pStyle w:val="BodyText"/>
      </w:pPr>
      <w:r>
        <w:rPr>
          <w:rFonts w:ascii="Microsoft YaHei" w:hAnsi="Microsoft YaHei" w:eastAsia="Microsoft YaHei"/>
          <w:color w:val="000000"/>
          <w:sz w:val="21"/>
        </w:rPr>
        <w:t>插件和 Python 桥接共同管理工作区根目录的 MEMORY.md 以及 memory 目录下一层的 Markdown 文件。两端的 memoryFiles 和 memory_files 必须保持一致。单个记忆文件超过 2 MB 时，插件或桥接会拒绝处理。</w:t>
      </w:r>
    </w:p>
    <w:p>
      <w:pPr>
        <w:pStyle w:val="Heading2"/>
        <w:keepNext/>
      </w:pPr>
      <w:r>
        <w:rPr>
          <w:rFonts w:ascii="Microsoft YaHei" w:hAnsi="Microsoft YaHei" w:eastAsia="Microsoft YaHei"/>
          <w:b/>
          <w:color w:val="000000"/>
          <w:sz w:val="26"/>
        </w:rPr>
        <w:t>环境变量</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rPr>
          <w:tblHeader w:val="true"/>
        </w:trPr>
        <w:tc>
          <w:tcPr>
            <w:tcW w:type="dxa" w:w="1928"/>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变量</w:t>
            </w:r>
          </w:p>
        </w:tc>
        <w:tc>
          <w:tcPr>
            <w:tcW w:type="dxa" w:w="850"/>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必需</w:t>
            </w:r>
          </w:p>
        </w:tc>
        <w:tc>
          <w:tcPr>
            <w:tcW w:type="dxa" w:w="2835"/>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作用</w:t>
            </w:r>
          </w:p>
        </w:tc>
        <w:tc>
          <w:tcPr>
            <w:tcW w:type="dxa" w:w="3005"/>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示例</w:t>
            </w:r>
          </w:p>
        </w:tc>
      </w:tr>
      <w:tr>
        <w:tc>
          <w:tcPr>
            <w:tcW w:type="dxa" w:w="192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SCMG_WORKSPACE</w:t>
            </w:r>
          </w:p>
        </w:tc>
        <w:tc>
          <w:tcPr>
            <w:tcW w:type="dxa" w:w="8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是</w:t>
            </w:r>
          </w:p>
        </w:tc>
        <w:tc>
          <w:tcPr>
            <w:tcW w:type="dxa" w:w="283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Agent 工作区绝对路径</w:t>
            </w:r>
          </w:p>
        </w:tc>
        <w:tc>
          <w:tcPr>
            <w:tcW w:type="dxa" w:w="300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D:\agent\workspace</w:t>
            </w:r>
          </w:p>
        </w:tc>
      </w:tr>
      <w:tr>
        <w:tc>
          <w:tcPr>
            <w:tcW w:type="dxa" w:w="192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SCMG_RECORD</w:t>
            </w:r>
          </w:p>
        </w:tc>
        <w:tc>
          <w:tcPr>
            <w:tcW w:type="dxa" w:w="850"/>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是</w:t>
            </w:r>
          </w:p>
        </w:tc>
        <w:tc>
          <w:tcPr>
            <w:tcW w:type="dxa" w:w="283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当前运行 JSON 记录</w:t>
            </w:r>
          </w:p>
        </w:tc>
        <w:tc>
          <w:tcPr>
            <w:tcW w:type="dxa" w:w="300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D:\run\record.json</w:t>
            </w:r>
          </w:p>
        </w:tc>
      </w:tr>
      <w:tr>
        <w:tc>
          <w:tcPr>
            <w:tcW w:type="dxa" w:w="192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SCMG_STATE</w:t>
            </w:r>
          </w:p>
        </w:tc>
        <w:tc>
          <w:tcPr>
            <w:tcW w:type="dxa" w:w="8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是</w:t>
            </w:r>
          </w:p>
        </w:tc>
        <w:tc>
          <w:tcPr>
            <w:tcW w:type="dxa" w:w="283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来源和审计状态目录</w:t>
            </w:r>
          </w:p>
        </w:tc>
        <w:tc>
          <w:tcPr>
            <w:tcW w:type="dxa" w:w="300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D:\run\scmg-state</w:t>
            </w:r>
          </w:p>
        </w:tc>
      </w:tr>
      <w:tr>
        <w:tc>
          <w:tcPr>
            <w:tcW w:type="dxa" w:w="192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SCMG_EVENTS</w:t>
            </w:r>
          </w:p>
        </w:tc>
        <w:tc>
          <w:tcPr>
            <w:tcW w:type="dxa" w:w="850"/>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否</w:t>
            </w:r>
          </w:p>
        </w:tc>
        <w:tc>
          <w:tcPr>
            <w:tcW w:type="dxa" w:w="283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插件事件 JSONL</w:t>
            </w:r>
          </w:p>
        </w:tc>
        <w:tc>
          <w:tcPr>
            <w:tcW w:type="dxa" w:w="300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D:\run\events.jsonl</w:t>
            </w:r>
          </w:p>
        </w:tc>
      </w:tr>
      <w:tr>
        <w:tc>
          <w:tcPr>
            <w:tcW w:type="dxa" w:w="192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SCMG_PYTHON</w:t>
            </w:r>
          </w:p>
        </w:tc>
        <w:tc>
          <w:tcPr>
            <w:tcW w:type="dxa" w:w="8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否</w:t>
            </w:r>
          </w:p>
        </w:tc>
        <w:tc>
          <w:tcPr>
            <w:tcW w:type="dxa" w:w="283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安装 scmg 的 Python</w:t>
            </w:r>
          </w:p>
        </w:tc>
        <w:tc>
          <w:tcPr>
            <w:tcW w:type="dxa" w:w="300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D:\venv\Scripts\python.exe</w:t>
            </w:r>
          </w:p>
        </w:tc>
      </w:tr>
      <w:tr>
        <w:tc>
          <w:tcPr>
            <w:tcW w:type="dxa" w:w="192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SCMG_BRIDGE</w:t>
            </w:r>
          </w:p>
        </w:tc>
        <w:tc>
          <w:tcPr>
            <w:tcW w:type="dxa" w:w="850"/>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否</w:t>
            </w:r>
          </w:p>
        </w:tc>
        <w:tc>
          <w:tcPr>
            <w:tcW w:type="dxa" w:w="283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直接 bridge.py 路径</w:t>
            </w:r>
          </w:p>
        </w:tc>
        <w:tc>
          <w:tcPr>
            <w:tcW w:type="dxa" w:w="300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留空时使用 python -m scmg.bridge</w:t>
            </w:r>
          </w:p>
        </w:tc>
      </w:tr>
    </w:tbl>
    <w:p>
      <w:pPr>
        <w:spacing w:after="0"/>
      </w:pPr>
    </w:p>
    <w:p>
      <w:pPr>
        <w:pStyle w:val="Heading1"/>
        <w:keepNext/>
      </w:pPr>
      <w:r>
        <w:rPr>
          <w:rFonts w:ascii="Microsoft YaHei" w:hAnsi="Microsoft YaHei" w:eastAsia="Microsoft YaHei"/>
          <w:b/>
          <w:color w:val="000000"/>
          <w:sz w:val="32"/>
        </w:rPr>
        <w:t>六 数据结构与桥接协议</w:t>
      </w:r>
    </w:p>
    <w:p>
      <w:pPr>
        <w:pStyle w:val="Heading2"/>
        <w:keepNext/>
      </w:pPr>
      <w:r>
        <w:rPr>
          <w:rFonts w:ascii="Microsoft YaHei" w:hAnsi="Microsoft YaHei" w:eastAsia="Microsoft YaHei"/>
          <w:b/>
          <w:color w:val="000000"/>
          <w:sz w:val="26"/>
        </w:rPr>
        <w:t>运行记录</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rPr>
          <w:tblHeader w:val="true"/>
        </w:trPr>
        <w:tc>
          <w:tcPr>
            <w:tcW w:type="dxa" w:w="1984"/>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字段</w:t>
            </w:r>
          </w:p>
        </w:tc>
        <w:tc>
          <w:tcPr>
            <w:tcW w:type="dxa" w:w="1134"/>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类型</w:t>
            </w:r>
          </w:p>
        </w:tc>
        <w:tc>
          <w:tcPr>
            <w:tcW w:type="dxa" w:w="3855"/>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作用</w:t>
            </w:r>
          </w:p>
        </w:tc>
        <w:tc>
          <w:tcPr>
            <w:tcW w:type="dxa" w:w="1644"/>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是否进入策略</w:t>
            </w:r>
          </w:p>
        </w:tc>
      </w:tr>
      <w:tr>
        <w:tc>
          <w:tcPr>
            <w:tcW w:type="dxa" w:w="1984"/>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user_query</w:t>
            </w:r>
          </w:p>
        </w:tc>
        <w:tc>
          <w:tcPr>
            <w:tcW w:type="dxa" w:w="1134"/>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string</w:t>
            </w:r>
          </w:p>
        </w:tc>
        <w:tc>
          <w:tcPr>
            <w:tcW w:type="dxa" w:w="385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当前经过认证的用户请求</w:t>
            </w:r>
          </w:p>
        </w:tc>
        <w:tc>
          <w:tcPr>
            <w:tcW w:type="dxa" w:w="1644"/>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是</w:t>
            </w:r>
          </w:p>
        </w:tc>
      </w:tr>
      <w:tr>
        <w:tc>
          <w:tcPr>
            <w:tcW w:type="dxa" w:w="1984"/>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context</w:t>
            </w:r>
          </w:p>
        </w:tc>
        <w:tc>
          <w:tcPr>
            <w:tcW w:type="dxa" w:w="1134"/>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string</w:t>
            </w:r>
          </w:p>
        </w:tc>
        <w:tc>
          <w:tcPr>
            <w:tcW w:type="dxa" w:w="385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本次任务的外部材料</w:t>
            </w:r>
          </w:p>
        </w:tc>
        <w:tc>
          <w:tcPr>
            <w:tcW w:type="dxa" w:w="1644"/>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是</w:t>
            </w:r>
          </w:p>
        </w:tc>
      </w:tr>
      <w:tr>
        <w:tc>
          <w:tcPr>
            <w:tcW w:type="dxa" w:w="1984"/>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retrieval_query</w:t>
            </w:r>
          </w:p>
        </w:tc>
        <w:tc>
          <w:tcPr>
            <w:tcW w:type="dxa" w:w="1134"/>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string</w:t>
            </w:r>
          </w:p>
        </w:tc>
        <w:tc>
          <w:tcPr>
            <w:tcW w:type="dxa" w:w="385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后续使用阶段的当前查询</w:t>
            </w:r>
          </w:p>
        </w:tc>
        <w:tc>
          <w:tcPr>
            <w:tcW w:type="dxa" w:w="1644"/>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是</w:t>
            </w:r>
          </w:p>
        </w:tc>
      </w:tr>
    </w:tbl>
    <w:p>
      <w:pPr>
        <w:spacing w:after="0"/>
      </w:pPr>
    </w:p>
    <w:p>
      <w:pPr>
        <w:pStyle w:val="Heading2"/>
        <w:keepNext/>
      </w:pPr>
      <w:r>
        <w:rPr>
          <w:rFonts w:ascii="Microsoft YaHei" w:hAnsi="Microsoft YaHei" w:eastAsia="Microsoft YaHei"/>
          <w:b/>
          <w:color w:val="000000"/>
          <w:sz w:val="26"/>
        </w:rPr>
        <w:t>基础载荷</w:t>
      </w:r>
    </w:p>
    <w:p>
      <w:pPr>
        <w:pStyle w:val="CodeBlock"/>
        <w:keepLines/>
        <w:shd w:fill="F3F4F6"/>
      </w:pPr>
      <w:r>
        <w:rPr>
          <w:rFonts w:ascii="Consolas" w:hAnsi="Consolas" w:eastAsia="Consolas"/>
          <w:color w:val="000000"/>
          <w:sz w:val="17"/>
        </w:rPr>
        <w:t>{</w:t>
        <w:br/>
        <w:t xml:space="preserve">  "workspace": "D:\\agent\\workspace",</w:t>
        <w:br/>
        <w:t xml:space="preserve">  "state_dir": "D:\\run\\scmg-state",</w:t>
        <w:br/>
        <w:t xml:space="preserve">  "record_file": "D:\\run\\record.json"</w:t>
        <w:br/>
        <w:t>}</w:t>
      </w:r>
    </w:p>
    <w:p>
      <w:pPr>
        <w:pStyle w:val="BodyText"/>
      </w:pPr>
      <w:r>
        <w:rPr>
          <w:rFonts w:ascii="Microsoft YaHei" w:hAnsi="Microsoft YaHei" w:eastAsia="Microsoft YaHei"/>
          <w:color w:val="000000"/>
          <w:sz w:val="21"/>
        </w:rPr>
        <w:t>调用方也可以用 record 字段直接传入包含 user_query、context 和 retrieval_query 的对象。workspace 必须是已存在目录。record_file 模式下，指定文件必须存在并包含 JSON 对象。</w:t>
      </w:r>
    </w:p>
    <w:p>
      <w:pPr>
        <w:pStyle w:val="Heading2"/>
        <w:keepNext/>
      </w:pPr>
      <w:r>
        <w:rPr>
          <w:rFonts w:ascii="Microsoft YaHei" w:hAnsi="Microsoft YaHei" w:eastAsia="Microsoft YaHei"/>
          <w:b/>
          <w:color w:val="000000"/>
          <w:sz w:val="26"/>
        </w:rPr>
        <w:t>来源文件</w:t>
      </w:r>
    </w:p>
    <w:p>
      <w:pPr>
        <w:pStyle w:val="BodyText"/>
      </w:pPr>
      <w:r>
        <w:rPr>
          <w:rFonts w:ascii="Microsoft YaHei" w:hAnsi="Microsoft YaHei" w:eastAsia="Microsoft YaHei"/>
          <w:color w:val="000000"/>
          <w:sz w:val="21"/>
        </w:rPr>
        <w:t>bind_origin 在状态目录创建 origin.json。文件保存 origin_id、用户请求哈希、外部材料哈希、是否存在外部材料、来源类型和策略版本。若同一状态目录已经绑定了不同来源，桥接会报错，从而防止一次受保护运行中途替换输入来源。</w:t>
      </w:r>
    </w:p>
    <w:p>
      <w:pPr>
        <w:pStyle w:val="Heading2"/>
        <w:keepNext/>
      </w:pPr>
      <w:r>
        <w:rPr>
          <w:rFonts w:ascii="Microsoft YaHei" w:hAnsi="Microsoft YaHei" w:eastAsia="Microsoft YaHei"/>
          <w:b/>
          <w:color w:val="000000"/>
          <w:sz w:val="26"/>
        </w:rPr>
        <w:t>审计记录</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06"/>
        <w:gridCol w:w="4706"/>
      </w:tblGrid>
      <w:tr>
        <w:trPr>
          <w:tblHeader w:val="true"/>
        </w:trPr>
        <w:tc>
          <w:tcPr>
            <w:tcW w:type="dxa" w:w="2324"/>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字段</w:t>
            </w:r>
          </w:p>
        </w:tc>
        <w:tc>
          <w:tcPr>
            <w:tcW w:type="dxa" w:w="6293"/>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说明</w:t>
            </w:r>
          </w:p>
        </w:tc>
      </w:tr>
      <w:tr>
        <w:tc>
          <w:tcPr>
            <w:tcW w:type="dxa" w:w="2324"/>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at</w:t>
            </w:r>
          </w:p>
        </w:tc>
        <w:tc>
          <w:tcPr>
            <w:tcW w:type="dxa" w:w="6293"/>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UTC ISO 8601 时间</w:t>
            </w:r>
          </w:p>
        </w:tc>
      </w:tr>
      <w:tr>
        <w:tc>
          <w:tcPr>
            <w:tcW w:type="dxa" w:w="2324"/>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previous_hash</w:t>
            </w:r>
          </w:p>
        </w:tc>
        <w:tc>
          <w:tcPr>
            <w:tcW w:type="dxa" w:w="6293"/>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上一条完整审计记录的 SHA-256 首条为 64 个零</w:t>
            </w:r>
          </w:p>
        </w:tc>
      </w:tr>
      <w:tr>
        <w:tc>
          <w:tcPr>
            <w:tcW w:type="dxa" w:w="2324"/>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policy_version</w:t>
            </w:r>
          </w:p>
        </w:tc>
        <w:tc>
          <w:tcPr>
            <w:tcW w:type="dxa" w:w="6293"/>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产生本事件的策略版本</w:t>
            </w:r>
          </w:p>
        </w:tc>
      </w:tr>
      <w:tr>
        <w:tc>
          <w:tcPr>
            <w:tcW w:type="dxa" w:w="2324"/>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stage</w:t>
            </w:r>
          </w:p>
        </w:tc>
        <w:tc>
          <w:tcPr>
            <w:tcW w:type="dxa" w:w="6293"/>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ingress pre_write post_write retrieval 或工具阶段</w:t>
            </w:r>
          </w:p>
        </w:tc>
      </w:tr>
      <w:tr>
        <w:tc>
          <w:tcPr>
            <w:tcW w:type="dxa" w:w="2324"/>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event</w:t>
            </w:r>
          </w:p>
        </w:tc>
        <w:tc>
          <w:tcPr>
            <w:tcW w:type="dxa" w:w="6293"/>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origin_bound claim_decision memory_projection 等事件名</w:t>
            </w:r>
          </w:p>
        </w:tc>
      </w:tr>
      <w:tr>
        <w:tc>
          <w:tcPr>
            <w:tcW w:type="dxa" w:w="2324"/>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hash</w:t>
            </w:r>
          </w:p>
        </w:tc>
        <w:tc>
          <w:tcPr>
            <w:tcW w:type="dxa" w:w="6293"/>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当前记录在移除 hash 字段后按排序 JSON 计算的 SHA-256</w:t>
            </w:r>
          </w:p>
        </w:tc>
      </w:tr>
    </w:tbl>
    <w:p>
      <w:pPr>
        <w:spacing w:after="0"/>
      </w:pPr>
    </w:p>
    <w:p>
      <w:pPr>
        <w:pStyle w:val="BodyText"/>
      </w:pPr>
      <w:r>
        <w:rPr>
          <w:rFonts w:ascii="Microsoft YaHei" w:hAnsi="Microsoft YaHei" w:eastAsia="Microsoft YaHei"/>
          <w:color w:val="000000"/>
          <w:sz w:val="21"/>
        </w:rPr>
        <w:t>verify_audit 按顺序重新计算每一条记录，并检查 previous_hash 是否连接到前一条记录。内容被修改、删除中间记录或打乱顺序都会导致验证失败。</w:t>
      </w:r>
    </w:p>
    <w:p>
      <w:r>
        <w:br w:type="page"/>
      </w:r>
    </w:p>
    <w:p>
      <w:pPr>
        <w:pStyle w:val="Heading1"/>
        <w:keepNext/>
      </w:pPr>
      <w:r>
        <w:rPr>
          <w:rFonts w:ascii="Microsoft YaHei" w:hAnsi="Microsoft YaHei" w:eastAsia="Microsoft YaHei"/>
          <w:b/>
          <w:color w:val="000000"/>
          <w:sz w:val="32"/>
        </w:rPr>
        <w:t>七 安装运行与示例</w:t>
      </w:r>
    </w:p>
    <w:p>
      <w:pPr>
        <w:pStyle w:val="Heading2"/>
        <w:keepNext/>
      </w:pPr>
      <w:r>
        <w:rPr>
          <w:rFonts w:ascii="Microsoft YaHei" w:hAnsi="Microsoft YaHei" w:eastAsia="Microsoft YaHei"/>
          <w:b/>
          <w:color w:val="000000"/>
          <w:sz w:val="26"/>
        </w:rPr>
        <w:t>环境要求</w:t>
      </w:r>
    </w:p>
    <w:p>
      <w:pPr>
        <w:pStyle w:val="ListBullet"/>
      </w:pPr>
      <w:r>
        <w:rPr>
          <w:rFonts w:ascii="Microsoft YaHei" w:hAnsi="Microsoft YaHei" w:eastAsia="Microsoft YaHei"/>
          <w:color w:val="000000"/>
          <w:sz w:val="20"/>
        </w:rPr>
        <w:t>Python 3.10 或更高版本。</w:t>
      </w:r>
    </w:p>
    <w:p>
      <w:pPr>
        <w:pStyle w:val="ListBullet"/>
      </w:pPr>
      <w:r>
        <w:rPr>
          <w:rFonts w:ascii="Microsoft YaHei" w:hAnsi="Microsoft YaHei" w:eastAsia="Microsoft YaHei"/>
          <w:color w:val="000000"/>
          <w:sz w:val="20"/>
        </w:rPr>
        <w:t>核心 Python 包无第三方运行依赖。</w:t>
      </w:r>
    </w:p>
    <w:p>
      <w:pPr>
        <w:pStyle w:val="ListBullet"/>
      </w:pPr>
      <w:r>
        <w:rPr>
          <w:rFonts w:ascii="Microsoft YaHei" w:hAnsi="Microsoft YaHei" w:eastAsia="Microsoft YaHei"/>
          <w:color w:val="000000"/>
          <w:sz w:val="20"/>
        </w:rPr>
        <w:t>使用 OpenClaw 插件时需要支持 ES Module 和相应生命周期钩子的 Node.js 运行环境。</w:t>
      </w:r>
    </w:p>
    <w:p>
      <w:pPr>
        <w:pStyle w:val="ListBullet"/>
      </w:pPr>
      <w:r>
        <w:rPr>
          <w:rFonts w:ascii="Microsoft YaHei" w:hAnsi="Microsoft YaHei" w:eastAsia="Microsoft YaHei"/>
          <w:color w:val="000000"/>
          <w:sz w:val="20"/>
        </w:rPr>
        <w:t>运行用户必须能够读取受管理记忆文件，并能够写入 SCMG 状态目录。</w:t>
      </w:r>
    </w:p>
    <w:p>
      <w:pPr>
        <w:pStyle w:val="Heading2"/>
        <w:keepNext/>
      </w:pPr>
      <w:r>
        <w:rPr>
          <w:rFonts w:ascii="Microsoft YaHei" w:hAnsi="Microsoft YaHei" w:eastAsia="Microsoft YaHei"/>
          <w:b/>
          <w:color w:val="000000"/>
          <w:sz w:val="26"/>
        </w:rPr>
        <w:t>本地安装</w:t>
      </w:r>
    </w:p>
    <w:p>
      <w:pPr>
        <w:pStyle w:val="CodeBlock"/>
        <w:keepLines/>
        <w:shd w:fill="F3F4F6"/>
      </w:pPr>
      <w:r>
        <w:rPr>
          <w:rFonts w:ascii="Consolas" w:hAnsi="Consolas" w:eastAsia="Consolas"/>
          <w:color w:val="000000"/>
          <w:sz w:val="17"/>
        </w:rPr>
        <w:t>git clone https://github.com/299195/SCMG.git</w:t>
        <w:br/>
        <w:t>Set-Location SCMG</w:t>
        <w:br/>
        <w:t>python -m venv .venv</w:t>
        <w:br/>
        <w:t>.\.venv\Scripts\Activate.ps1</w:t>
        <w:br/>
        <w:t>python -m pip install -e .</w:t>
      </w:r>
    </w:p>
    <w:p>
      <w:pPr>
        <w:pStyle w:val="Heading2"/>
        <w:keepNext/>
      </w:pPr>
      <w:r>
        <w:rPr>
          <w:rFonts w:ascii="Microsoft YaHei" w:hAnsi="Microsoft YaHei" w:eastAsia="Microsoft YaHei"/>
          <w:b/>
          <w:color w:val="000000"/>
          <w:sz w:val="26"/>
        </w:rPr>
        <w:t>运行测试</w:t>
      </w:r>
    </w:p>
    <w:p>
      <w:pPr>
        <w:pStyle w:val="CodeBlock"/>
        <w:keepLines/>
        <w:shd w:fill="F3F4F6"/>
      </w:pPr>
      <w:r>
        <w:rPr>
          <w:rFonts w:ascii="Consolas" w:hAnsi="Consolas" w:eastAsia="Consolas"/>
          <w:color w:val="000000"/>
          <w:sz w:val="17"/>
        </w:rPr>
        <w:t>python -m unittest discover -s tests -v</w:t>
      </w:r>
    </w:p>
    <w:p>
      <w:pPr>
        <w:pStyle w:val="BodyText"/>
      </w:pPr>
      <w:r>
        <w:rPr>
          <w:rFonts w:ascii="Microsoft YaHei" w:hAnsi="Microsoft YaHei" w:eastAsia="Microsoft YaHei"/>
          <w:color w:val="000000"/>
          <w:sz w:val="21"/>
        </w:rPr>
        <w:t>成功时应看到 8 项测试全部通过。若 Python 无法导入 scmg，请确认当前虚拟环境已执行可编辑安装，或者临时将 src 加入 PYTHONPATH。</w:t>
      </w:r>
    </w:p>
    <w:p>
      <w:pPr>
        <w:pStyle w:val="Heading2"/>
        <w:keepNext/>
      </w:pPr>
      <w:r>
        <w:rPr>
          <w:rFonts w:ascii="Microsoft YaHei" w:hAnsi="Microsoft YaHei" w:eastAsia="Microsoft YaHei"/>
          <w:b/>
          <w:color w:val="000000"/>
          <w:sz w:val="26"/>
        </w:rPr>
        <w:t>调用来源绑定</w:t>
      </w:r>
    </w:p>
    <w:p>
      <w:pPr>
        <w:pStyle w:val="CodeBlock"/>
        <w:keepLines/>
        <w:shd w:fill="F3F4F6"/>
      </w:pPr>
      <w:r>
        <w:rPr>
          <w:rFonts w:ascii="Consolas" w:hAnsi="Consolas" w:eastAsia="Consolas"/>
          <w:color w:val="000000"/>
          <w:sz w:val="17"/>
        </w:rPr>
        <w:t>$payload = @{</w:t>
        <w:br/>
        <w:t xml:space="preserve">  workspace = (Resolve-Path examples\workspace).Path</w:t>
        <w:br/>
        <w:t xml:space="preserve">  state_dir = (Join-Path (Resolve-Path examples).Path 'state')</w:t>
        <w:br/>
        <w:t xml:space="preserve">  record_file = (Resolve-Path examples\record.json).Path</w:t>
        <w:br/>
        <w:t>} | ConvertTo-Json</w:t>
        <w:br/>
        <w:t>$payload | scmg-bridge bind_origin</w:t>
      </w:r>
    </w:p>
    <w:p>
      <w:pPr>
        <w:pStyle w:val="Heading2"/>
        <w:keepNext/>
      </w:pPr>
      <w:r>
        <w:rPr>
          <w:rFonts w:ascii="Microsoft YaHei" w:hAnsi="Microsoft YaHei" w:eastAsia="Microsoft YaHei"/>
          <w:b/>
          <w:color w:val="000000"/>
          <w:sz w:val="26"/>
        </w:rPr>
        <w:t>调用写前检查</w:t>
      </w:r>
    </w:p>
    <w:p>
      <w:pPr>
        <w:pStyle w:val="CodeBlock"/>
        <w:keepLines/>
        <w:shd w:fill="F3F4F6"/>
      </w:pPr>
      <w:r>
        <w:rPr>
          <w:rFonts w:ascii="Consolas" w:hAnsi="Consolas" w:eastAsia="Consolas"/>
          <w:color w:val="000000"/>
          <w:sz w:val="17"/>
        </w:rPr>
        <w:t>$preflight = @{</w:t>
        <w:br/>
        <w:t xml:space="preserve">  workspace = (Resolve-Path examples\workspace).Path</w:t>
        <w:br/>
        <w:t xml:space="preserve">  state_dir = (Join-Path (Resolve-Path examples).Path 'state')</w:t>
        <w:br/>
        <w:t xml:space="preserve">  record_file = (Resolve-Path examples\record.json).Path</w:t>
        <w:br/>
        <w:t xml:space="preserve">  content = Get-Content examples\workspace\MEMORY.md -Raw</w:t>
        <w:br/>
        <w:t>} | ConvertTo-Json</w:t>
        <w:br/>
        <w:t>$preflight | scmg-bridge preflight</w:t>
      </w:r>
    </w:p>
    <w:p>
      <w:pPr>
        <w:pStyle w:val="Heading2"/>
        <w:keepNext/>
      </w:pPr>
      <w:r>
        <w:rPr>
          <w:rFonts w:ascii="Microsoft YaHei" w:hAnsi="Microsoft YaHei" w:eastAsia="Microsoft YaHei"/>
          <w:b/>
          <w:color w:val="000000"/>
          <w:sz w:val="26"/>
        </w:rPr>
        <w:t>输出解释</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06"/>
        <w:gridCol w:w="4706"/>
      </w:tblGrid>
      <w:tr>
        <w:trPr>
          <w:tblHeader w:val="true"/>
        </w:trPr>
        <w:tc>
          <w:tcPr>
            <w:tcW w:type="dxa" w:w="2891"/>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字段</w:t>
            </w:r>
          </w:p>
        </w:tc>
        <w:tc>
          <w:tcPr>
            <w:tcW w:type="dxa" w:w="5726"/>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含义</w:t>
            </w:r>
          </w:p>
        </w:tc>
      </w:tr>
      <w:tr>
        <w:tc>
          <w:tcPr>
            <w:tcW w:type="dxa" w:w="289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projected</w:t>
            </w:r>
          </w:p>
        </w:tc>
        <w:tc>
          <w:tcPr>
            <w:tcW w:type="dxa" w:w="572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允许写入的记忆投影</w:t>
            </w:r>
          </w:p>
        </w:tc>
      </w:tr>
      <w:tr>
        <w:tc>
          <w:tcPr>
            <w:tcW w:type="dxa" w:w="289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candidate_count</w:t>
            </w:r>
          </w:p>
        </w:tc>
        <w:tc>
          <w:tcPr>
            <w:tcW w:type="dxa" w:w="572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本次拆分得到的候选主张数</w:t>
            </w:r>
          </w:p>
        </w:tc>
      </w:tr>
      <w:tr>
        <w:tc>
          <w:tcPr>
            <w:tcW w:type="dxa" w:w="289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quarantined_claim_ids</w:t>
            </w:r>
          </w:p>
        </w:tc>
        <w:tc>
          <w:tcPr>
            <w:tcW w:type="dxa" w:w="572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未进入投影的主张 ID</w:t>
            </w:r>
          </w:p>
        </w:tc>
      </w:tr>
      <w:tr>
        <w:tc>
          <w:tcPr>
            <w:tcW w:type="dxa" w:w="289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neutralized_claim_ids</w:t>
            </w:r>
          </w:p>
        </w:tc>
        <w:tc>
          <w:tcPr>
            <w:tcW w:type="dxa" w:w="572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目标被中和的主张 ID</w:t>
            </w:r>
          </w:p>
        </w:tc>
      </w:tr>
      <w:tr>
        <w:tc>
          <w:tcPr>
            <w:tcW w:type="dxa" w:w="289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changed</w:t>
            </w:r>
          </w:p>
        </w:tc>
        <w:tc>
          <w:tcPr>
            <w:tcW w:type="dxa" w:w="572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投影是否与输入内容不同</w:t>
            </w:r>
          </w:p>
        </w:tc>
      </w:tr>
      <w:tr>
        <w:tc>
          <w:tcPr>
            <w:tcW w:type="dxa" w:w="289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projection_sha256</w:t>
            </w:r>
          </w:p>
        </w:tc>
        <w:tc>
          <w:tcPr>
            <w:tcW w:type="dxa" w:w="572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最终投影的 SHA-256</w:t>
            </w:r>
          </w:p>
        </w:tc>
      </w:tr>
    </w:tbl>
    <w:p>
      <w:pPr>
        <w:spacing w:after="0"/>
      </w:pPr>
    </w:p>
    <w:p>
      <w:pPr>
        <w:pStyle w:val="Heading1"/>
        <w:keepNext/>
      </w:pPr>
      <w:r>
        <w:rPr>
          <w:rFonts w:ascii="Microsoft YaHei" w:hAnsi="Microsoft YaHei" w:eastAsia="Microsoft YaHei"/>
          <w:b/>
          <w:color w:val="000000"/>
          <w:sz w:val="32"/>
        </w:rPr>
        <w:t>八 测试与验证</w:t>
      </w:r>
    </w:p>
    <w:p>
      <w:pPr>
        <w:pStyle w:val="Heading2"/>
        <w:keepNext/>
      </w:pPr>
      <w:r>
        <w:rPr>
          <w:rFonts w:ascii="Microsoft YaHei" w:hAnsi="Microsoft YaHei" w:eastAsia="Microsoft YaHei"/>
          <w:b/>
          <w:color w:val="000000"/>
          <w:sz w:val="26"/>
        </w:rPr>
        <w:t>测试覆盖</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2268"/>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测试文件</w:t>
            </w:r>
          </w:p>
        </w:tc>
        <w:tc>
          <w:tcPr>
            <w:tcW w:type="dxa" w:w="1134"/>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用例</w:t>
            </w:r>
          </w:p>
        </w:tc>
        <w:tc>
          <w:tcPr>
            <w:tcW w:type="dxa" w:w="5216"/>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验证内容</w:t>
            </w:r>
          </w:p>
        </w:tc>
      </w:tr>
      <w:tr>
        <w:tc>
          <w:tcPr>
            <w:tcW w:type="dxa" w:w="226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test_policy.py</w:t>
            </w:r>
          </w:p>
        </w:tc>
        <w:tc>
          <w:tcPr>
            <w:tcW w:type="dxa" w:w="1134"/>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5 项</w:t>
            </w:r>
          </w:p>
        </w:tc>
        <w:tc>
          <w:tcPr>
            <w:tcW w:type="dxa" w:w="521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主张隔离 目标中和 直接用户文本 消息目标绑定 审计篡改</w:t>
            </w:r>
          </w:p>
        </w:tc>
      </w:tr>
      <w:tr>
        <w:tc>
          <w:tcPr>
            <w:tcW w:type="dxa" w:w="226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test_bridge.py</w:t>
            </w:r>
          </w:p>
        </w:tc>
        <w:tc>
          <w:tcPr>
            <w:tcW w:type="dxa" w:w="1134"/>
            <w:tcMar>
              <w:top w:w="100" w:type="dxa"/>
              <w:start w:w="120" w:type="dxa"/>
              <w:bottom w:w="100" w:type="dxa"/>
              <w:end w:w="120" w:type="dxa"/>
            </w:tcMar>
            <w:vAlign w:val="center"/>
            <w:shd w:fill="EAF2F8"/>
          </w:tcPr>
          <w:p>
            <w:pPr>
              <w:spacing w:after="0" w:line="259" w:lineRule="auto"/>
              <w:jc w:val="center"/>
            </w:pPr>
            <w:r>
              <w:rPr>
                <w:rFonts w:ascii="Microsoft YaHei" w:hAnsi="Microsoft YaHei" w:eastAsia="Microsoft YaHei"/>
                <w:color w:val="000000"/>
                <w:sz w:val="18"/>
              </w:rPr>
              <w:t>2 项</w:t>
            </w:r>
          </w:p>
        </w:tc>
        <w:tc>
          <w:tcPr>
            <w:tcW w:type="dxa" w:w="521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来源绑定 落盘复查 后续使用准备 运行中来源不可替换</w:t>
            </w:r>
          </w:p>
        </w:tc>
      </w:tr>
      <w:tr>
        <w:tc>
          <w:tcPr>
            <w:tcW w:type="dxa" w:w="226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test_evaluation.py</w:t>
            </w:r>
          </w:p>
        </w:tc>
        <w:tc>
          <w:tcPr>
            <w:tcW w:type="dxa" w:w="1134"/>
            <w:tcMar>
              <w:top w:w="100" w:type="dxa"/>
              <w:start w:w="120" w:type="dxa"/>
              <w:bottom w:w="100" w:type="dxa"/>
              <w:end w:w="120" w:type="dxa"/>
            </w:tcMar>
            <w:vAlign w:val="center"/>
          </w:tcPr>
          <w:p>
            <w:pPr>
              <w:spacing w:after="0" w:line="259" w:lineRule="auto"/>
              <w:jc w:val="center"/>
            </w:pPr>
            <w:r>
              <w:rPr>
                <w:rFonts w:ascii="Microsoft YaHei" w:hAnsi="Microsoft YaHei" w:eastAsia="Microsoft YaHei"/>
                <w:color w:val="000000"/>
                <w:sz w:val="18"/>
              </w:rPr>
              <w:t>1 项</w:t>
            </w:r>
          </w:p>
        </w:tc>
        <w:tc>
          <w:tcPr>
            <w:tcW w:type="dxa" w:w="521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attempted valid error 和条件后续使用率分母</w:t>
            </w:r>
          </w:p>
        </w:tc>
      </w:tr>
    </w:tbl>
    <w:p>
      <w:pPr>
        <w:spacing w:after="0"/>
      </w:pPr>
    </w:p>
    <w:p>
      <w:pPr>
        <w:pStyle w:val="Heading2"/>
        <w:keepNext/>
      </w:pPr>
      <w:r>
        <w:rPr>
          <w:rFonts w:ascii="Microsoft YaHei" w:hAnsi="Microsoft YaHei" w:eastAsia="Microsoft YaHei"/>
          <w:b/>
          <w:color w:val="000000"/>
          <w:sz w:val="26"/>
        </w:rPr>
        <w:t>验证层次</w:t>
      </w:r>
    </w:p>
    <w:p>
      <w:pPr>
        <w:pStyle w:val="ListNumber"/>
      </w:pPr>
      <w:r>
        <w:rPr>
          <w:rFonts w:ascii="Microsoft YaHei" w:hAnsi="Microsoft YaHei" w:eastAsia="Microsoft YaHei"/>
          <w:color w:val="000000"/>
          <w:sz w:val="20"/>
        </w:rPr>
        <w:t>语法检查验证 Python 文件可编译且 OpenClaw 插件可通过 Node.js 语法分析。</w:t>
      </w:r>
    </w:p>
    <w:p>
      <w:pPr>
        <w:pStyle w:val="ListNumber"/>
      </w:pPr>
      <w:r>
        <w:rPr>
          <w:rFonts w:ascii="Microsoft YaHei" w:hAnsi="Microsoft YaHei" w:eastAsia="Microsoft YaHei"/>
          <w:color w:val="000000"/>
          <w:sz w:val="20"/>
        </w:rPr>
        <w:t>单元测试验证确定性策略和指标汇总。</w:t>
      </w:r>
    </w:p>
    <w:p>
      <w:pPr>
        <w:pStyle w:val="ListNumber"/>
      </w:pPr>
      <w:r>
        <w:rPr>
          <w:rFonts w:ascii="Microsoft YaHei" w:hAnsi="Microsoft YaHei" w:eastAsia="Microsoft YaHei"/>
          <w:color w:val="000000"/>
          <w:sz w:val="20"/>
        </w:rPr>
        <w:t>桥接测试在临时工作区创建真实 Markdown 记忆文件，验证写后复查和后续使用上下文。</w:t>
      </w:r>
    </w:p>
    <w:p>
      <w:pPr>
        <w:pStyle w:val="ListNumber"/>
      </w:pPr>
      <w:r>
        <w:rPr>
          <w:rFonts w:ascii="Microsoft YaHei" w:hAnsi="Microsoft YaHei" w:eastAsia="Microsoft YaHei"/>
          <w:color w:val="000000"/>
          <w:sz w:val="20"/>
        </w:rPr>
        <w:t>内容扫描检查仓库中是否出现不应公开的运行状态、认证字段或本地文件。</w:t>
      </w:r>
    </w:p>
    <w:p>
      <w:pPr>
        <w:pStyle w:val="ListNumber"/>
      </w:pPr>
      <w:r>
        <w:rPr>
          <w:rFonts w:ascii="Microsoft YaHei" w:hAnsi="Microsoft YaHei" w:eastAsia="Microsoft YaHei"/>
          <w:color w:val="000000"/>
          <w:sz w:val="20"/>
        </w:rPr>
        <w:t>部署测试应在目标 Agent 版本中确认所有钩子实际触发，并对每种敏感工具做正反例测试。</w:t>
      </w:r>
    </w:p>
    <w:p>
      <w:pPr>
        <w:pStyle w:val="Heading2"/>
        <w:keepNext/>
      </w:pPr>
      <w:r>
        <w:rPr>
          <w:rFonts w:ascii="Microsoft YaHei" w:hAnsi="Microsoft YaHei" w:eastAsia="Microsoft YaHei"/>
          <w:b/>
          <w:color w:val="000000"/>
          <w:sz w:val="26"/>
        </w:rPr>
        <w:t>新增功能的测试要求</w:t>
      </w:r>
    </w:p>
    <w:p>
      <w:pPr>
        <w:pStyle w:val="ListBullet"/>
      </w:pPr>
      <w:r>
        <w:rPr>
          <w:rFonts w:ascii="Microsoft YaHei" w:hAnsi="Microsoft YaHei" w:eastAsia="Microsoft YaHei"/>
          <w:color w:val="000000"/>
          <w:sz w:val="20"/>
        </w:rPr>
        <w:t>新增正则或风险类型时，同时增加允许样例和阻止样例，避免只测试攻击文本。</w:t>
      </w:r>
    </w:p>
    <w:p>
      <w:pPr>
        <w:pStyle w:val="ListBullet"/>
      </w:pPr>
      <w:r>
        <w:rPr>
          <w:rFonts w:ascii="Microsoft YaHei" w:hAnsi="Microsoft YaHei" w:eastAsia="Microsoft YaHei"/>
          <w:color w:val="000000"/>
          <w:sz w:val="20"/>
        </w:rPr>
        <w:t>新增记忆路径时，验证写前检查、写后复查和后续使用三个阶段都能访问同一文件集合。</w:t>
      </w:r>
    </w:p>
    <w:p>
      <w:pPr>
        <w:pStyle w:val="ListBullet"/>
      </w:pPr>
      <w:r>
        <w:rPr>
          <w:rFonts w:ascii="Microsoft YaHei" w:hAnsi="Microsoft YaHei" w:eastAsia="Microsoft YaHei"/>
          <w:color w:val="000000"/>
          <w:sz w:val="20"/>
        </w:rPr>
        <w:t>新增工具门禁时，至少测试无授权、动作已授权但目标不同、动作和目标均匹配三种情况。</w:t>
      </w:r>
    </w:p>
    <w:p>
      <w:pPr>
        <w:pStyle w:val="ListBullet"/>
      </w:pPr>
      <w:r>
        <w:rPr>
          <w:rFonts w:ascii="Microsoft YaHei" w:hAnsi="Microsoft YaHei" w:eastAsia="Microsoft YaHei"/>
          <w:color w:val="000000"/>
          <w:sz w:val="20"/>
        </w:rPr>
        <w:t>修改审计字段时，验证旧记录处理策略并确认篡改检测仍然有效。</w:t>
      </w:r>
    </w:p>
    <w:p>
      <w:pPr>
        <w:pStyle w:val="ListBullet"/>
      </w:pPr>
      <w:r>
        <w:rPr>
          <w:rFonts w:ascii="Microsoft YaHei" w:hAnsi="Microsoft YaHei" w:eastAsia="Microsoft YaHei"/>
          <w:color w:val="000000"/>
          <w:sz w:val="20"/>
        </w:rPr>
        <w:t>修改评测字段时，明确 attempted、valid、error 和条件分母。</w:t>
      </w:r>
    </w:p>
    <w:p>
      <w:r>
        <w:br w:type="page"/>
      </w:r>
    </w:p>
    <w:p>
      <w:pPr>
        <w:pStyle w:val="Heading1"/>
        <w:keepNext/>
      </w:pPr>
      <w:r>
        <w:rPr>
          <w:rFonts w:ascii="Microsoft YaHei" w:hAnsi="Microsoft YaHei" w:eastAsia="Microsoft YaHei"/>
          <w:b/>
          <w:color w:val="000000"/>
          <w:sz w:val="32"/>
        </w:rPr>
        <w:t>九 安全属性与适用边界</w:t>
      </w:r>
    </w:p>
    <w:p>
      <w:pPr>
        <w:pStyle w:val="Heading2"/>
        <w:keepNext/>
      </w:pPr>
      <w:r>
        <w:rPr>
          <w:rFonts w:ascii="Microsoft YaHei" w:hAnsi="Microsoft YaHei" w:eastAsia="Microsoft YaHei"/>
          <w:b/>
          <w:color w:val="000000"/>
          <w:sz w:val="26"/>
        </w:rPr>
        <w:t>当前安全属性</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1701"/>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属性</w:t>
            </w:r>
          </w:p>
        </w:tc>
        <w:tc>
          <w:tcPr>
            <w:tcW w:type="dxa" w:w="4082"/>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实现方式</w:t>
            </w:r>
          </w:p>
        </w:tc>
        <w:tc>
          <w:tcPr>
            <w:tcW w:type="dxa" w:w="2835"/>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验证方法</w:t>
            </w:r>
          </w:p>
        </w:tc>
      </w:tr>
      <w:tr>
        <w:tc>
          <w:tcPr>
            <w:tcW w:type="dxa" w:w="170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来源绑定</w:t>
            </w:r>
          </w:p>
        </w:tc>
        <w:tc>
          <w:tcPr>
            <w:tcW w:type="dxa" w:w="408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请求和材料分别计算哈希并固定 origin_id</w:t>
            </w:r>
          </w:p>
        </w:tc>
        <w:tc>
          <w:tcPr>
            <w:tcW w:type="dxa" w:w="283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运行中替换来源应失败</w:t>
            </w:r>
          </w:p>
        </w:tc>
      </w:tr>
      <w:tr>
        <w:tc>
          <w:tcPr>
            <w:tcW w:type="dxa" w:w="170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主张隔离</w:t>
            </w:r>
          </w:p>
        </w:tc>
        <w:tc>
          <w:tcPr>
            <w:tcW w:type="dxa" w:w="408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外部规则和高风险指令不进入安全投影</w:t>
            </w:r>
          </w:p>
        </w:tc>
        <w:tc>
          <w:tcPr>
            <w:tcW w:type="dxa" w:w="283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比较输入与 projected</w:t>
            </w:r>
          </w:p>
        </w:tc>
      </w:tr>
      <w:tr>
        <w:tc>
          <w:tcPr>
            <w:tcW w:type="dxa" w:w="170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目标中和</w:t>
            </w:r>
          </w:p>
        </w:tc>
        <w:tc>
          <w:tcPr>
            <w:tcW w:type="dxa" w:w="408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未授权外部收件人替换为占位符</w:t>
            </w:r>
          </w:p>
        </w:tc>
        <w:tc>
          <w:tcPr>
            <w:tcW w:type="dxa" w:w="283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检查记忆文件与主张决定</w:t>
            </w:r>
          </w:p>
        </w:tc>
      </w:tr>
      <w:tr>
        <w:tc>
          <w:tcPr>
            <w:tcW w:type="dxa" w:w="170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落盘复查</w:t>
            </w:r>
          </w:p>
        </w:tc>
        <w:tc>
          <w:tcPr>
            <w:tcW w:type="dxa" w:w="408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工具前后快照触发 admit</w:t>
            </w:r>
          </w:p>
        </w:tc>
        <w:tc>
          <w:tcPr>
            <w:tcW w:type="dxa" w:w="283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绕过 preflight 写入后仍被改写</w:t>
            </w:r>
          </w:p>
        </w:tc>
      </w:tr>
      <w:tr>
        <w:tc>
          <w:tcPr>
            <w:tcW w:type="dxa" w:w="170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检索约束</w:t>
            </w:r>
          </w:p>
        </w:tc>
        <w:tc>
          <w:tcPr>
            <w:tcW w:type="dxa" w:w="408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重新投影并渲染带来源上下文</w:t>
            </w:r>
          </w:p>
        </w:tc>
        <w:tc>
          <w:tcPr>
            <w:tcW w:type="dxa" w:w="283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检查 selected 和 rejected ID</w:t>
            </w:r>
          </w:p>
        </w:tc>
      </w:tr>
      <w:tr>
        <w:tc>
          <w:tcPr>
            <w:tcW w:type="dxa" w:w="170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动作绑定</w:t>
            </w:r>
          </w:p>
        </w:tc>
        <w:tc>
          <w:tcPr>
            <w:tcW w:type="dxa" w:w="408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动作和目标同时匹配当前请求</w:t>
            </w:r>
          </w:p>
        </w:tc>
        <w:tc>
          <w:tcPr>
            <w:tcW w:type="dxa" w:w="283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工具正反例</w:t>
            </w:r>
          </w:p>
        </w:tc>
      </w:tr>
      <w:tr>
        <w:tc>
          <w:tcPr>
            <w:tcW w:type="dxa" w:w="170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审计完整性</w:t>
            </w:r>
          </w:p>
        </w:tc>
        <w:tc>
          <w:tcPr>
            <w:tcW w:type="dxa" w:w="408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previous_hash 串联事件</w:t>
            </w:r>
          </w:p>
        </w:tc>
        <w:tc>
          <w:tcPr>
            <w:tcW w:type="dxa" w:w="2835"/>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修改任意审计行后验证失败</w:t>
            </w:r>
          </w:p>
        </w:tc>
      </w:tr>
      <w:tr>
        <w:tc>
          <w:tcPr>
            <w:tcW w:type="dxa" w:w="170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故障闭合</w:t>
            </w:r>
          </w:p>
        </w:tc>
        <w:tc>
          <w:tcPr>
            <w:tcW w:type="dxa" w:w="408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桥接异常时阻止受影响调用</w:t>
            </w:r>
          </w:p>
        </w:tc>
        <w:tc>
          <w:tcPr>
            <w:tcW w:type="dxa" w:w="2835"/>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停止桥接后调用工具</w:t>
            </w:r>
          </w:p>
        </w:tc>
      </w:tr>
    </w:tbl>
    <w:p>
      <w:pPr>
        <w:spacing w:after="0"/>
      </w:pPr>
    </w:p>
    <w:p>
      <w:pPr>
        <w:pStyle w:val="Heading2"/>
        <w:keepNext/>
      </w:pPr>
      <w:r>
        <w:rPr>
          <w:rFonts w:ascii="Microsoft YaHei" w:hAnsi="Microsoft YaHei" w:eastAsia="Microsoft YaHei"/>
          <w:b/>
          <w:color w:val="000000"/>
          <w:sz w:val="26"/>
        </w:rPr>
        <w:t>适用边界</w:t>
      </w:r>
    </w:p>
    <w:p>
      <w:pPr>
        <w:pStyle w:val="BodyText"/>
      </w:pPr>
      <w:r>
        <w:rPr>
          <w:rFonts w:ascii="Microsoft YaHei" w:hAnsi="Microsoft YaHei" w:eastAsia="Microsoft YaHei"/>
          <w:color w:val="000000"/>
          <w:sz w:val="21"/>
        </w:rPr>
        <w:t>SCMG 只能约束已经接入的生命周期钩子、记忆文件和工具。若 Agent 通过数据库、向量索引、其他目录或未登记工具持久化与执行，当前实现不会自动覆盖这些通道。接入新系统时，应先建立完整的数据流和工具清单，再决定检查点。</w:t>
      </w:r>
    </w:p>
    <w:p>
      <w:pPr>
        <w:pStyle w:val="BodyText"/>
      </w:pPr>
      <w:r>
        <w:rPr>
          <w:rFonts w:ascii="Microsoft YaHei" w:hAnsi="Microsoft YaHei" w:eastAsia="Microsoft YaHei"/>
          <w:color w:val="000000"/>
          <w:sz w:val="21"/>
        </w:rPr>
        <w:t>正则策略提供可审计的确定性判断，但无法理解所有语言变体，也可能对复杂上下文产生误判。部署方应使用自身任务语料进行允许集和阻止集测试，并记录策略版本。</w:t>
      </w:r>
    </w:p>
    <w:p>
      <w:pPr>
        <w:pStyle w:val="BodyText"/>
      </w:pPr>
      <w:r>
        <w:rPr>
          <w:rFonts w:ascii="Microsoft YaHei" w:hAnsi="Microsoft YaHei" w:eastAsia="Microsoft YaHei"/>
          <w:color w:val="000000"/>
          <w:sz w:val="21"/>
        </w:rPr>
        <w:t>哈希审计链能检测已保存记录的内容和顺序变化，但当前实现没有外部签名、远程时间戳或独立存储。拥有状态目录写权限的攻击者可以整体替换审计文件和来源文件。更高保证需要受保护密钥和独立日志接收端。</w:t>
      </w:r>
    </w:p>
    <w:p>
      <w:pPr>
        <w:pStyle w:val="Heading2"/>
        <w:keepNext/>
      </w:pPr>
      <w:r>
        <w:rPr>
          <w:rFonts w:ascii="Microsoft YaHei" w:hAnsi="Microsoft YaHei" w:eastAsia="Microsoft YaHei"/>
          <w:b/>
          <w:color w:val="000000"/>
          <w:sz w:val="26"/>
        </w:rPr>
        <w:t>部署前检查</w:t>
      </w:r>
    </w:p>
    <w:p>
      <w:pPr>
        <w:pStyle w:val="ListBullet"/>
      </w:pPr>
      <w:r>
        <w:rPr>
          <w:rFonts w:ascii="Microsoft YaHei" w:hAnsi="Microsoft YaHei" w:eastAsia="Microsoft YaHei"/>
          <w:color w:val="000000"/>
          <w:sz w:val="20"/>
        </w:rPr>
        <w:t>列出所有持久记忆载体和实际写入工具。</w:t>
      </w:r>
    </w:p>
    <w:p>
      <w:pPr>
        <w:pStyle w:val="ListBullet"/>
      </w:pPr>
      <w:r>
        <w:rPr>
          <w:rFonts w:ascii="Microsoft YaHei" w:hAnsi="Microsoft YaHei" w:eastAsia="Microsoft YaHei"/>
          <w:color w:val="000000"/>
          <w:sz w:val="20"/>
        </w:rPr>
        <w:t>列出所有可以产生外部副作用的工具及其目标字段。</w:t>
      </w:r>
    </w:p>
    <w:p>
      <w:pPr>
        <w:pStyle w:val="ListBullet"/>
      </w:pPr>
      <w:r>
        <w:rPr>
          <w:rFonts w:ascii="Microsoft YaHei" w:hAnsi="Microsoft YaHei" w:eastAsia="Microsoft YaHei"/>
          <w:color w:val="000000"/>
          <w:sz w:val="20"/>
        </w:rPr>
        <w:t>确认阶段识别与目标 Agent 的会话命名一致。</w:t>
      </w:r>
    </w:p>
    <w:p>
      <w:pPr>
        <w:pStyle w:val="ListBullet"/>
      </w:pPr>
      <w:r>
        <w:rPr>
          <w:rFonts w:ascii="Microsoft YaHei" w:hAnsi="Microsoft YaHei" w:eastAsia="Microsoft YaHei"/>
          <w:color w:val="000000"/>
          <w:sz w:val="20"/>
        </w:rPr>
        <w:t>确认 SCMG_STATE 不与不可信工作区共用写权限。</w:t>
      </w:r>
    </w:p>
    <w:p>
      <w:pPr>
        <w:pStyle w:val="ListBullet"/>
      </w:pPr>
      <w:r>
        <w:rPr>
          <w:rFonts w:ascii="Microsoft YaHei" w:hAnsi="Microsoft YaHei" w:eastAsia="Microsoft YaHei"/>
          <w:color w:val="000000"/>
          <w:sz w:val="20"/>
        </w:rPr>
        <w:t>验证桥接超时和异常时工具确实被阻止。</w:t>
      </w:r>
    </w:p>
    <w:p>
      <w:pPr>
        <w:pStyle w:val="ListBullet"/>
      </w:pPr>
      <w:r>
        <w:rPr>
          <w:rFonts w:ascii="Microsoft YaHei" w:hAnsi="Microsoft YaHei" w:eastAsia="Microsoft YaHei"/>
          <w:color w:val="000000"/>
          <w:sz w:val="20"/>
        </w:rPr>
        <w:t>对正常任务、边界表达和风险输入分别建立回归测试。</w:t>
      </w:r>
    </w:p>
    <w:p>
      <w:pPr>
        <w:pStyle w:val="Heading1"/>
        <w:keepNext/>
      </w:pPr>
      <w:r>
        <w:rPr>
          <w:rFonts w:ascii="Microsoft YaHei" w:hAnsi="Microsoft YaHei" w:eastAsia="Microsoft YaHei"/>
          <w:b/>
          <w:color w:val="000000"/>
          <w:sz w:val="32"/>
        </w:rPr>
        <w:t>十 扩展维护与发布</w:t>
      </w:r>
    </w:p>
    <w:p>
      <w:pPr>
        <w:pStyle w:val="Heading2"/>
        <w:keepNext/>
      </w:pPr>
      <w:r>
        <w:rPr>
          <w:rFonts w:ascii="Microsoft YaHei" w:hAnsi="Microsoft YaHei" w:eastAsia="Microsoft YaHei"/>
          <w:b/>
          <w:color w:val="000000"/>
          <w:sz w:val="26"/>
        </w:rPr>
        <w:t>接入新的记忆后端</w:t>
      </w:r>
    </w:p>
    <w:p>
      <w:pPr>
        <w:pStyle w:val="ListNumber"/>
      </w:pPr>
      <w:r>
        <w:rPr>
          <w:rFonts w:ascii="Microsoft YaHei" w:hAnsi="Microsoft YaHei" w:eastAsia="Microsoft YaHei"/>
          <w:color w:val="000000"/>
          <w:sz w:val="20"/>
        </w:rPr>
        <w:t>确定后端的写入、更新、删除和查询接口，以及实际持久状态位置。</w:t>
      </w:r>
    </w:p>
    <w:p>
      <w:pPr>
        <w:pStyle w:val="ListNumber"/>
      </w:pPr>
      <w:r>
        <w:rPr>
          <w:rFonts w:ascii="Microsoft YaHei" w:hAnsi="Microsoft YaHei" w:eastAsia="Microsoft YaHei"/>
          <w:color w:val="000000"/>
          <w:sz w:val="20"/>
        </w:rPr>
        <w:t>在写入提交前调用 project_memory 或等价策略，保留逐主张决定。</w:t>
      </w:r>
    </w:p>
    <w:p>
      <w:pPr>
        <w:pStyle w:val="ListNumber"/>
      </w:pPr>
      <w:r>
        <w:rPr>
          <w:rFonts w:ascii="Microsoft YaHei" w:hAnsi="Microsoft YaHei" w:eastAsia="Microsoft YaHei"/>
          <w:color w:val="000000"/>
          <w:sz w:val="20"/>
        </w:rPr>
        <w:t>写入完成后读取实际状态并再次检查，避免只相信调用参数。</w:t>
      </w:r>
    </w:p>
    <w:p>
      <w:pPr>
        <w:pStyle w:val="ListNumber"/>
      </w:pPr>
      <w:r>
        <w:rPr>
          <w:rFonts w:ascii="Microsoft YaHei" w:hAnsi="Microsoft YaHei" w:eastAsia="Microsoft YaHei"/>
          <w:color w:val="000000"/>
          <w:sz w:val="20"/>
        </w:rPr>
        <w:t>后续查询时对候选重新执行策略，并把来源元数据带入上下文。</w:t>
      </w:r>
    </w:p>
    <w:p>
      <w:pPr>
        <w:pStyle w:val="ListNumber"/>
      </w:pPr>
      <w:r>
        <w:rPr>
          <w:rFonts w:ascii="Microsoft YaHei" w:hAnsi="Microsoft YaHei" w:eastAsia="Microsoft YaHei"/>
          <w:color w:val="000000"/>
          <w:sz w:val="20"/>
        </w:rPr>
        <w:t>为新的持久层实现来源绑定、审计事件和篡改验证。</w:t>
      </w:r>
    </w:p>
    <w:p>
      <w:pPr>
        <w:pStyle w:val="ListNumber"/>
      </w:pPr>
      <w:r>
        <w:rPr>
          <w:rFonts w:ascii="Microsoft YaHei" w:hAnsi="Microsoft YaHei" w:eastAsia="Microsoft YaHei"/>
          <w:color w:val="000000"/>
          <w:sz w:val="20"/>
        </w:rPr>
        <w:t>增加端到端测试，覆盖成功、拒绝、部分失败和桥接不可用。</w:t>
      </w:r>
    </w:p>
    <w:p>
      <w:pPr>
        <w:pStyle w:val="Heading2"/>
        <w:keepNext/>
      </w:pPr>
      <w:r>
        <w:rPr>
          <w:rFonts w:ascii="Microsoft YaHei" w:hAnsi="Microsoft YaHei" w:eastAsia="Microsoft YaHei"/>
          <w:b/>
          <w:color w:val="000000"/>
          <w:sz w:val="26"/>
        </w:rPr>
        <w:t>增加新的工具门禁</w:t>
      </w:r>
    </w:p>
    <w:p>
      <w:pPr>
        <w:pStyle w:val="ListNumber"/>
      </w:pPr>
      <w:r>
        <w:rPr>
          <w:rFonts w:ascii="Microsoft YaHei" w:hAnsi="Microsoft YaHei" w:eastAsia="Microsoft YaHei"/>
          <w:color w:val="000000"/>
          <w:sz w:val="20"/>
        </w:rPr>
        <w:t>确定工具动词、目标字段和可能产生的外部副作用。</w:t>
      </w:r>
    </w:p>
    <w:p>
      <w:pPr>
        <w:pStyle w:val="ListNumber"/>
      </w:pPr>
      <w:r>
        <w:rPr>
          <w:rFonts w:ascii="Microsoft YaHei" w:hAnsi="Microsoft YaHei" w:eastAsia="Microsoft YaHei"/>
          <w:color w:val="000000"/>
          <w:sz w:val="20"/>
        </w:rPr>
        <w:t>从当前用户请求中提取动作与目标，不从外部材料中生成授权。</w:t>
      </w:r>
    </w:p>
    <w:p>
      <w:pPr>
        <w:pStyle w:val="ListNumber"/>
      </w:pPr>
      <w:r>
        <w:rPr>
          <w:rFonts w:ascii="Microsoft YaHei" w:hAnsi="Microsoft YaHei" w:eastAsia="Microsoft YaHei"/>
          <w:color w:val="000000"/>
          <w:sz w:val="20"/>
        </w:rPr>
        <w:t>在 check_tool 中返回稳定的 rule 标识，便于审计和测试。</w:t>
      </w:r>
    </w:p>
    <w:p>
      <w:pPr>
        <w:pStyle w:val="ListNumber"/>
      </w:pPr>
      <w:r>
        <w:rPr>
          <w:rFonts w:ascii="Microsoft YaHei" w:hAnsi="Microsoft YaHei" w:eastAsia="Microsoft YaHei"/>
          <w:color w:val="000000"/>
          <w:sz w:val="20"/>
        </w:rPr>
        <w:t>为无授权、错误目标和完整授权增加测试。</w:t>
      </w:r>
    </w:p>
    <w:p>
      <w:pPr>
        <w:pStyle w:val="ListNumber"/>
      </w:pPr>
      <w:r>
        <w:rPr>
          <w:rFonts w:ascii="Microsoft YaHei" w:hAnsi="Microsoft YaHei" w:eastAsia="Microsoft YaHei"/>
          <w:color w:val="000000"/>
          <w:sz w:val="20"/>
        </w:rPr>
        <w:t>在目标 Agent 插件中确认 before_tool_call 能阻止工具执行。</w:t>
      </w:r>
    </w:p>
    <w:p>
      <w:pPr>
        <w:pStyle w:val="Heading2"/>
        <w:keepNext/>
      </w:pPr>
      <w:r>
        <w:rPr>
          <w:rFonts w:ascii="Microsoft YaHei" w:hAnsi="Microsoft YaHei" w:eastAsia="Microsoft YaHei"/>
          <w:b/>
          <w:color w:val="000000"/>
          <w:sz w:val="26"/>
        </w:rPr>
        <w:t>版本维护</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06"/>
        <w:gridCol w:w="4706"/>
      </w:tblGrid>
      <w:tr>
        <w:trPr>
          <w:tblHeader w:val="true"/>
        </w:trPr>
        <w:tc>
          <w:tcPr>
            <w:tcW w:type="dxa" w:w="2438"/>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变更类型</w:t>
            </w:r>
          </w:p>
        </w:tc>
        <w:tc>
          <w:tcPr>
            <w:tcW w:type="dxa" w:w="6180"/>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同步更新内容</w:t>
            </w:r>
          </w:p>
        </w:tc>
      </w:tr>
      <w:tr>
        <w:tc>
          <w:tcPr>
            <w:tcW w:type="dxa" w:w="243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策略判断变化</w:t>
            </w:r>
          </w:p>
        </w:tc>
        <w:tc>
          <w:tcPr>
            <w:tcW w:type="dxa" w:w="6180"/>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POLICY_VERSION policy.py 测试 架构说明和中英文 README</w:t>
            </w:r>
          </w:p>
        </w:tc>
      </w:tr>
      <w:tr>
        <w:tc>
          <w:tcPr>
            <w:tcW w:type="dxa" w:w="243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桥接动作变化</w:t>
            </w:r>
          </w:p>
        </w:tc>
        <w:tc>
          <w:tcPr>
            <w:tcW w:type="dxa" w:w="6180"/>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bridge.py usage.md 插件调用和桥接测试</w:t>
            </w:r>
          </w:p>
        </w:tc>
      </w:tr>
      <w:tr>
        <w:tc>
          <w:tcPr>
            <w:tcW w:type="dxa" w:w="243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OpenClaw 钩子变化</w:t>
            </w:r>
          </w:p>
        </w:tc>
        <w:tc>
          <w:tcPr>
            <w:tcW w:type="dxa" w:w="6180"/>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index.mjs 插件清单 环境变量和端到端验证</w:t>
            </w:r>
          </w:p>
        </w:tc>
      </w:tr>
      <w:tr>
        <w:tc>
          <w:tcPr>
            <w:tcW w:type="dxa" w:w="243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评测字段变化</w:t>
            </w:r>
          </w:p>
        </w:tc>
        <w:tc>
          <w:tcPr>
            <w:tcW w:type="dxa" w:w="6180"/>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evaluation.py 示例行 测试和分母说明</w:t>
            </w:r>
          </w:p>
        </w:tc>
      </w:tr>
      <w:tr>
        <w:tc>
          <w:tcPr>
            <w:tcW w:type="dxa" w:w="2438"/>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包版本变化</w:t>
            </w:r>
          </w:p>
        </w:tc>
        <w:tc>
          <w:tcPr>
            <w:tcW w:type="dxa" w:w="6180"/>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pyproject.toml README 安装命令和发布记录</w:t>
            </w:r>
          </w:p>
        </w:tc>
      </w:tr>
      <w:tr>
        <w:tc>
          <w:tcPr>
            <w:tcW w:type="dxa" w:w="2438"/>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公开内容变化</w:t>
            </w:r>
          </w:p>
        </w:tc>
        <w:tc>
          <w:tcPr>
            <w:tcW w:type="dxa" w:w="6180"/>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仓库内容说明 Word 文档和敏感文件扫描</w:t>
            </w:r>
          </w:p>
        </w:tc>
      </w:tr>
    </w:tbl>
    <w:p>
      <w:pPr>
        <w:spacing w:after="0"/>
      </w:pPr>
    </w:p>
    <w:p>
      <w:pPr>
        <w:pStyle w:val="Heading2"/>
        <w:keepNext/>
      </w:pPr>
      <w:r>
        <w:rPr>
          <w:rFonts w:ascii="Microsoft YaHei" w:hAnsi="Microsoft YaHei" w:eastAsia="Microsoft YaHei"/>
          <w:b/>
          <w:color w:val="000000"/>
          <w:sz w:val="26"/>
        </w:rPr>
        <w:t>发布检查清单</w:t>
      </w:r>
    </w:p>
    <w:p>
      <w:pPr>
        <w:pStyle w:val="ListBullet"/>
      </w:pPr>
      <w:r>
        <w:rPr>
          <w:rFonts w:ascii="Microsoft YaHei" w:hAnsi="Microsoft YaHei" w:eastAsia="Microsoft YaHei"/>
          <w:color w:val="000000"/>
          <w:sz w:val="20"/>
        </w:rPr>
        <w:t>运行全部 Python 测试和 Node.js 插件语法检查。</w:t>
      </w:r>
    </w:p>
    <w:p>
      <w:pPr>
        <w:pStyle w:val="ListBullet"/>
      </w:pPr>
      <w:r>
        <w:rPr>
          <w:rFonts w:ascii="Microsoft YaHei" w:hAnsi="Microsoft YaHei" w:eastAsia="Microsoft YaHei"/>
          <w:color w:val="000000"/>
          <w:sz w:val="20"/>
        </w:rPr>
        <w:t>执行 git diff --check 并审查本次提交文件列表。</w:t>
      </w:r>
    </w:p>
    <w:p>
      <w:pPr>
        <w:pStyle w:val="ListBullet"/>
      </w:pPr>
      <w:r>
        <w:rPr>
          <w:rFonts w:ascii="Microsoft YaHei" w:hAnsi="Microsoft YaHei" w:eastAsia="Microsoft YaHei"/>
          <w:color w:val="000000"/>
          <w:sz w:val="20"/>
        </w:rPr>
        <w:t>扫描凭据 文件路径 数据库 日志和本地运行状态。</w:t>
      </w:r>
    </w:p>
    <w:p>
      <w:pPr>
        <w:pStyle w:val="ListBullet"/>
      </w:pPr>
      <w:r>
        <w:rPr>
          <w:rFonts w:ascii="Microsoft YaHei" w:hAnsi="Microsoft YaHei" w:eastAsia="Microsoft YaHei"/>
          <w:color w:val="000000"/>
          <w:sz w:val="20"/>
        </w:rPr>
        <w:t>核对 README_ZH.md 与 README.md 的安装和接口说明一致。</w:t>
      </w:r>
    </w:p>
    <w:p>
      <w:pPr>
        <w:pStyle w:val="ListBullet"/>
      </w:pPr>
      <w:r>
        <w:rPr>
          <w:rFonts w:ascii="Microsoft YaHei" w:hAnsi="Microsoft YaHei" w:eastAsia="Microsoft YaHei"/>
          <w:color w:val="000000"/>
          <w:sz w:val="20"/>
        </w:rPr>
        <w:t>确认文档中的目录树、函数名、动作名和环境变量与代码一致。</w:t>
      </w:r>
    </w:p>
    <w:p>
      <w:pPr>
        <w:pStyle w:val="ListBullet"/>
      </w:pPr>
      <w:r>
        <w:rPr>
          <w:rFonts w:ascii="Microsoft YaHei" w:hAnsi="Microsoft YaHei" w:eastAsia="Microsoft YaHei"/>
          <w:color w:val="000000"/>
          <w:sz w:val="20"/>
        </w:rPr>
        <w:t>提交后核对远端 main 指向预期提交。</w:t>
      </w:r>
    </w:p>
    <w:p>
      <w:r>
        <w:br w:type="page"/>
      </w:r>
    </w:p>
    <w:p>
      <w:pPr>
        <w:pStyle w:val="Heading1"/>
        <w:keepNext/>
      </w:pPr>
      <w:r>
        <w:rPr>
          <w:rFonts w:ascii="Microsoft YaHei" w:hAnsi="Microsoft YaHei" w:eastAsia="Microsoft YaHei"/>
          <w:b/>
          <w:color w:val="000000"/>
          <w:sz w:val="32"/>
        </w:rPr>
        <w:t>附录一 快速文件索引</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06"/>
        <w:gridCol w:w="4706"/>
      </w:tblGrid>
      <w:tr>
        <w:trPr>
          <w:tblHeader w:val="true"/>
        </w:trPr>
        <w:tc>
          <w:tcPr>
            <w:tcW w:type="dxa" w:w="3402"/>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需要完成的工作</w:t>
            </w:r>
          </w:p>
        </w:tc>
        <w:tc>
          <w:tcPr>
            <w:tcW w:type="dxa" w:w="5216"/>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首先查看</w:t>
            </w:r>
          </w:p>
        </w:tc>
      </w:tr>
      <w:tr>
        <w:tc>
          <w:tcPr>
            <w:tcW w:type="dxa" w:w="340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理解策略判断</w:t>
            </w:r>
          </w:p>
        </w:tc>
        <w:tc>
          <w:tcPr>
            <w:tcW w:type="dxa" w:w="521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src/scmg/policy.py</w:t>
            </w:r>
          </w:p>
        </w:tc>
      </w:tr>
      <w:tr>
        <w:tc>
          <w:tcPr>
            <w:tcW w:type="dxa" w:w="340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调用 SCMG</w:t>
            </w:r>
          </w:p>
        </w:tc>
        <w:tc>
          <w:tcPr>
            <w:tcW w:type="dxa" w:w="521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src/scmg/bridge.py 和 docs/usage.md</w:t>
            </w:r>
          </w:p>
        </w:tc>
      </w:tr>
      <w:tr>
        <w:tc>
          <w:tcPr>
            <w:tcW w:type="dxa" w:w="340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接入 OpenClaw</w:t>
            </w:r>
          </w:p>
        </w:tc>
        <w:tc>
          <w:tcPr>
            <w:tcW w:type="dxa" w:w="521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plugins/openclaw/index.mjs</w:t>
            </w:r>
          </w:p>
        </w:tc>
      </w:tr>
      <w:tr>
        <w:tc>
          <w:tcPr>
            <w:tcW w:type="dxa" w:w="340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理解项目全貌</w:t>
            </w:r>
          </w:p>
        </w:tc>
        <w:tc>
          <w:tcPr>
            <w:tcW w:type="dxa" w:w="521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README_ZH.md 和 docs/architecture.md</w:t>
            </w:r>
          </w:p>
        </w:tc>
      </w:tr>
      <w:tr>
        <w:tc>
          <w:tcPr>
            <w:tcW w:type="dxa" w:w="340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查看上传内容</w:t>
            </w:r>
          </w:p>
        </w:tc>
        <w:tc>
          <w:tcPr>
            <w:tcW w:type="dxa" w:w="521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docs/REPOSITORY_CONTENTS_ZH.md</w:t>
            </w:r>
          </w:p>
        </w:tc>
      </w:tr>
      <w:tr>
        <w:tc>
          <w:tcPr>
            <w:tcW w:type="dxa" w:w="340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运行合成样例</w:t>
            </w:r>
          </w:p>
        </w:tc>
        <w:tc>
          <w:tcPr>
            <w:tcW w:type="dxa" w:w="521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examples/record.json 和 examples/workspace/MEMORY.md</w:t>
            </w:r>
          </w:p>
        </w:tc>
      </w:tr>
      <w:tr>
        <w:tc>
          <w:tcPr>
            <w:tcW w:type="dxa" w:w="3402"/>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增加测试</w:t>
            </w:r>
          </w:p>
        </w:tc>
        <w:tc>
          <w:tcPr>
            <w:tcW w:type="dxa" w:w="521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tests/test_policy.py tests/test_bridge.py tests/test_evaluation.py</w:t>
            </w:r>
          </w:p>
        </w:tc>
      </w:tr>
      <w:tr>
        <w:tc>
          <w:tcPr>
            <w:tcW w:type="dxa" w:w="3402"/>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检查包配置</w:t>
            </w:r>
          </w:p>
        </w:tc>
        <w:tc>
          <w:tcPr>
            <w:tcW w:type="dxa" w:w="521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pyproject.toml</w:t>
            </w:r>
          </w:p>
        </w:tc>
      </w:tr>
    </w:tbl>
    <w:p>
      <w:pPr>
        <w:spacing w:after="0"/>
      </w:pPr>
    </w:p>
    <w:p>
      <w:pPr>
        <w:pStyle w:val="Heading1"/>
        <w:keepNext/>
      </w:pPr>
      <w:r>
        <w:rPr>
          <w:rFonts w:ascii="Microsoft YaHei" w:hAnsi="Microsoft YaHei" w:eastAsia="Microsoft YaHei"/>
          <w:b/>
          <w:color w:val="000000"/>
          <w:sz w:val="32"/>
        </w:rPr>
        <w:t>附录二 术语</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06"/>
        <w:gridCol w:w="4706"/>
      </w:tblGrid>
      <w:tr>
        <w:trPr>
          <w:tblHeader w:val="true"/>
        </w:trPr>
        <w:tc>
          <w:tcPr>
            <w:tcW w:type="dxa" w:w="2041"/>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术语</w:t>
            </w:r>
          </w:p>
        </w:tc>
        <w:tc>
          <w:tcPr>
            <w:tcW w:type="dxa" w:w="6576"/>
            <w:shd w:fill="17365D"/>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9"/>
              </w:rPr>
              <w:t>定义</w:t>
            </w:r>
          </w:p>
        </w:tc>
      </w:tr>
      <w:tr>
        <w:tc>
          <w:tcPr>
            <w:tcW w:type="dxa" w:w="204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来源</w:t>
            </w:r>
          </w:p>
        </w:tc>
        <w:tc>
          <w:tcPr>
            <w:tcW w:type="dxa" w:w="657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一段内容进入当前任务的通道 当前实现区分直接用户请求与外部材料</w:t>
            </w:r>
          </w:p>
        </w:tc>
      </w:tr>
      <w:tr>
        <w:tc>
          <w:tcPr>
            <w:tcW w:type="dxa" w:w="204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候选主张</w:t>
            </w:r>
          </w:p>
        </w:tc>
        <w:tc>
          <w:tcPr>
            <w:tcW w:type="dxa" w:w="657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从完整记忆文本中按结构拆出的判断单元</w:t>
            </w:r>
          </w:p>
        </w:tc>
      </w:tr>
      <w:tr>
        <w:tc>
          <w:tcPr>
            <w:tcW w:type="dxa" w:w="204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安全投影</w:t>
            </w:r>
          </w:p>
        </w:tc>
        <w:tc>
          <w:tcPr>
            <w:tcW w:type="dxa" w:w="657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逐条应用保留 隔离 改写和中和决定后的记忆文本</w:t>
            </w:r>
          </w:p>
        </w:tc>
      </w:tr>
      <w:tr>
        <w:tc>
          <w:tcPr>
            <w:tcW w:type="dxa" w:w="204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写前检查</w:t>
            </w:r>
          </w:p>
        </w:tc>
        <w:tc>
          <w:tcPr>
            <w:tcW w:type="dxa" w:w="657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工具提交持久写入之前对候选内容进行判断</w:t>
            </w:r>
          </w:p>
        </w:tc>
      </w:tr>
      <w:tr>
        <w:tc>
          <w:tcPr>
            <w:tcW w:type="dxa" w:w="204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落盘复查</w:t>
            </w:r>
          </w:p>
        </w:tc>
        <w:tc>
          <w:tcPr>
            <w:tcW w:type="dxa" w:w="657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工具返回后读取实际持久文件并重新判断</w:t>
            </w:r>
          </w:p>
        </w:tc>
      </w:tr>
      <w:tr>
        <w:tc>
          <w:tcPr>
            <w:tcW w:type="dxa" w:w="204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后续使用</w:t>
            </w:r>
          </w:p>
        </w:tc>
        <w:tc>
          <w:tcPr>
            <w:tcW w:type="dxa" w:w="657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新会话根据当前查询读取和使用持久记忆</w:t>
            </w:r>
          </w:p>
        </w:tc>
      </w:tr>
      <w:tr>
        <w:tc>
          <w:tcPr>
            <w:tcW w:type="dxa" w:w="2041"/>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工具门禁</w:t>
            </w:r>
          </w:p>
        </w:tc>
        <w:tc>
          <w:tcPr>
            <w:tcW w:type="dxa" w:w="6576"/>
            <w:tcMar>
              <w:top w:w="100" w:type="dxa"/>
              <w:start w:w="120" w:type="dxa"/>
              <w:bottom w:w="100" w:type="dxa"/>
              <w:end w:w="120" w:type="dxa"/>
            </w:tcMar>
            <w:vAlign w:val="center"/>
          </w:tcPr>
          <w:p>
            <w:pPr>
              <w:spacing w:after="0" w:line="259" w:lineRule="auto"/>
              <w:jc w:val="left"/>
            </w:pPr>
            <w:r>
              <w:rPr>
                <w:rFonts w:ascii="Microsoft YaHei" w:hAnsi="Microsoft YaHei" w:eastAsia="Microsoft YaHei"/>
                <w:color w:val="000000"/>
                <w:sz w:val="18"/>
              </w:rPr>
              <w:t>在工具调用前验证动作和目标是否由当前请求支持</w:t>
            </w:r>
          </w:p>
        </w:tc>
      </w:tr>
      <w:tr>
        <w:tc>
          <w:tcPr>
            <w:tcW w:type="dxa" w:w="2041"/>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审计链</w:t>
            </w:r>
          </w:p>
        </w:tc>
        <w:tc>
          <w:tcPr>
            <w:tcW w:type="dxa" w:w="6576"/>
            <w:tcMar>
              <w:top w:w="100" w:type="dxa"/>
              <w:start w:w="120" w:type="dxa"/>
              <w:bottom w:w="100" w:type="dxa"/>
              <w:end w:w="120" w:type="dxa"/>
            </w:tcMar>
            <w:vAlign w:val="center"/>
            <w:shd w:fill="EAF2F8"/>
          </w:tcPr>
          <w:p>
            <w:pPr>
              <w:spacing w:after="0" w:line="259" w:lineRule="auto"/>
              <w:jc w:val="left"/>
            </w:pPr>
            <w:r>
              <w:rPr>
                <w:rFonts w:ascii="Microsoft YaHei" w:hAnsi="Microsoft YaHei" w:eastAsia="Microsoft YaHei"/>
                <w:color w:val="000000"/>
                <w:sz w:val="18"/>
              </w:rPr>
              <w:t>每条记录包含前一条哈希的顺序事件文件</w:t>
            </w:r>
          </w:p>
        </w:tc>
      </w:tr>
    </w:tbl>
    <w:p>
      <w:pPr>
        <w:spacing w:after="0"/>
      </w:pPr>
    </w:p>
    <w:p>
      <w:pPr>
        <w:pStyle w:val="Heading1"/>
        <w:keepNext/>
      </w:pPr>
      <w:r>
        <w:rPr>
          <w:rFonts w:ascii="Microsoft YaHei" w:hAnsi="Microsoft YaHei" w:eastAsia="Microsoft YaHei"/>
          <w:b/>
          <w:color w:val="000000"/>
          <w:sz w:val="32"/>
        </w:rPr>
        <w:t>附录三 常用命令</w:t>
      </w:r>
    </w:p>
    <w:p>
      <w:pPr>
        <w:pStyle w:val="CodeBlock"/>
        <w:keepLines/>
        <w:shd w:fill="F3F4F6"/>
      </w:pPr>
      <w:r>
        <w:rPr>
          <w:rFonts w:ascii="Consolas" w:hAnsi="Consolas" w:eastAsia="Consolas"/>
          <w:color w:val="000000"/>
          <w:sz w:val="17"/>
        </w:rPr>
        <w:t># 安装</w:t>
        <w:br/>
        <w:t>python -m pip install -e .</w:t>
        <w:br/>
        <w:br/>
        <w:t># 测试</w:t>
        <w:br/>
        <w:t>python -m unittest discover -s tests -v</w:t>
        <w:br/>
        <w:br/>
        <w:t># Python 编译检查</w:t>
        <w:br/>
        <w:t>python -m compileall -q src tests</w:t>
        <w:br/>
        <w:br/>
        <w:t># OpenClaw 插件语法检查</w:t>
        <w:br/>
        <w:t>node --check plugins\openclaw\index.mjs</w:t>
        <w:br/>
        <w:br/>
        <w:t># 查看命令行入口</w:t>
        <w:br/>
        <w:t>scmg-bridge</w:t>
      </w:r>
    </w:p>
    <w:sectPr w:rsidR="00FC693F" w:rsidRPr="0006063C" w:rsidSect="00034616">
      <w:headerReference w:type="default" r:id="rId9"/>
      <w:footerReference w:type="default" r:id="rId10"/>
      <w:pgSz w:w="11906" w:h="16838"/>
      <w:pgMar w:top="1191" w:right="1247" w:bottom="1077" w:left="1247" w:header="51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666666"/>
        <w:sz w:val="17"/>
      </w:rPr>
      <w:t xml:space="preserve">第 </w:t>
      <w:fldChar w:fldCharType="begin"/>
      <w:instrText xml:space="preserve">PAGE</w:instrText>
      <w:fldChar w:fldCharType="end"/>
    </w:r>
    <w:r>
      <w:rPr>
        <w:rFonts w:ascii="Microsoft YaHei" w:hAnsi="Microsoft YaHei" w:eastAsia="Microsoft YaHei"/>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color w:val="666666"/>
        <w:sz w:val="17"/>
      </w:rPr>
      <w:t>SCMG GitHub 仓库详细说明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52" w:lineRule="auto"/>
      <w:ind w:left="198" w:right="198"/>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SCMG GitHub 仓库详细说明</dc:title>
  <dc:subject>上传内容 项目结构 核心模块 接口与维护</dc:subject>
  <dc:creator>299195</dc:creator>
  <cp:keywords>SCMG, LLM Agent, persistent memory, OpenClaw</cp:keywords>
  <dc:description>generated by python-docx</dc:description>
  <cp:lastModifiedBy/>
  <cp:revision>1</cp:revision>
  <dcterms:created xsi:type="dcterms:W3CDTF">2013-12-23T23:15:00Z</dcterms:created>
  <dcterms:modified xsi:type="dcterms:W3CDTF">2013-12-23T23:15:00Z</dcterms:modified>
  <cp:category/>
</cp:coreProperties>
</file>