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xmlns:a="http://schemas.openxmlformats.org/drawingml/2006/main" xmlns:pic="http://schemas.openxmlformats.org/drawingml/2006/picture">
            <wp:extent cx="187200" cy="181916"/>
            <wp:docPr id="1" name="Picture 1"/>
            <wp:cNvGraphicFramePr>
              <a:graphicFrameLocks noChangeAspect="1"/>
            </wp:cNvGraphicFramePr>
            <a:graphic>
              <a:graphicData uri="http://schemas.openxmlformats.org/drawingml/2006/picture">
                <pic:pic>
                  <pic:nvPicPr>
                    <pic:cNvPr id="0" name="logo-signal-header.png"/>
                    <pic:cNvPicPr/>
                  </pic:nvPicPr>
                  <pic:blipFill>
                    <a:blip r:embed="rId9"/>
                    <a:stretch>
                      <a:fillRect/>
                    </a:stretch>
                  </pic:blipFill>
                  <pic:spPr>
                    <a:xfrm>
                      <a:off x="0" y="0"/>
                      <a:ext cx="187200" cy="181916"/>
                    </a:xfrm>
                    <a:prstGeom prst="rect"/>
                  </pic:spPr>
                </pic:pic>
              </a:graphicData>
            </a:graphic>
          </wp:inline>
        </w:drawing>
      </w:r>
      <w:r>
        <w:t xml:space="preserve">  </w:t>
      </w:r>
      <w:pPr>
        <w:pStyle w:val="Title"/>
        <w:ind w:left="113"/>
        <w:jc w:val="left"/>
      </w:pPr>
      <w:r>
        <w:t xml:space="preserve">Richtlinie zum Einsatz von KI-Anwendungen</w:t>
      </w:r>
    </w:p>
    <w:p>
      <w:pPr>
        <w:pBdr>
          <w:bottom w:val="single" w:color="BFBFBF" w:sz="6" w:space="8"/>
        </w:pBdr>
        <w:spacing w:after="240"/>
      </w:pPr>
      <w:r>
        <w:rPr>
          <w:i/>
          <w:iCs/>
          <w:color w:val="595959"/>
          <w:sz w:val="20"/>
          <w:szCs w:val="20"/>
        </w:rPr>
        <w:t xml:space="preserve">Vorlage zum Ausfüllen – Stand der Rechtslage: September 2026</w:t>
      </w:r>
    </w:p>
    <w:p>
      <w:pPr>
        <w:spacing w:after="40" w:before="160"/>
      </w:pPr>
      <w:r>
        <w:rPr>
          <w:b/>
          <w:bCs/>
          <w:color w:val="595959"/>
          <w:sz w:val="20"/>
          <w:szCs w:val="20"/>
        </w:rPr>
        <w:t xml:space="preserve">Einrichtung (Name, Anschrift)</w:t>
      </w:r>
    </w:p>
    <w:p>
      <w:pPr>
        <w:pBdr>
          <w:bottom w:val="single" w:color="808080" w:sz="6" w:space="4"/>
        </w:pBdr>
        <w:spacing w:after="160"/>
      </w:pPr>
    </w:p>
    <w:p>
      <w:pPr>
        <w:pBdr>
          <w:bottom w:val="single" w:color="808080" w:sz="6" w:space="4"/>
        </w:pBdr>
        <w:spacing w:after="160"/>
      </w:pPr>
    </w:p>
    <w:p>
      <w:pPr>
        <w:spacing w:after="40" w:before="160"/>
      </w:pPr>
      <w:r>
        <w:rPr>
          <w:b/>
          <w:bCs/>
          <w:color w:val="595959"/>
          <w:sz w:val="20"/>
          <w:szCs w:val="20"/>
        </w:rPr>
        <w:t xml:space="preserve">Verantwortlich für diese Richtlinie (Name, Funktion)</w:t>
      </w:r>
    </w:p>
    <w:p>
      <w:pPr>
        <w:pBdr>
          <w:bottom w:val="single" w:color="808080" w:sz="6" w:space="4"/>
        </w:pBdr>
        <w:spacing w:after="160"/>
      </w:pPr>
    </w:p>
    <w:p>
      <w:pPr>
        <w:spacing w:after="40" w:before="160"/>
      </w:pPr>
      <w:r>
        <w:rPr>
          <w:b/>
          <w:bCs/>
          <w:color w:val="595959"/>
          <w:sz w:val="20"/>
          <w:szCs w:val="20"/>
        </w:rPr>
        <w:t xml:space="preserve">In Kraft ab (Datum) – nächste Überprüfung (Datum)</w:t>
      </w:r>
    </w:p>
    <w:p>
      <w:pPr>
        <w:pBdr>
          <w:bottom w:val="single" w:color="808080" w:sz="6" w:space="4"/>
        </w:pBdr>
        <w:spacing w:after="160"/>
      </w:pPr>
    </w:p>
    <w:p>
      <w:pPr>
        <w:pStyle w:val="Heading1"/>
      </w:pPr>
      <w:r>
        <w:t xml:space="preserve">1. Zweck und Geltungsbereich</w:t>
      </w:r>
    </w:p>
    <w:p>
      <w:r>
        <w:t xml:space="preserve">Diese Richtlinie regelt, welche KI-Anwendungen in unserer Einrichtung genutzt werden dürfen, welche Daten dabei niemals verarbeitet werden und wie mit Ergebnissen dieser Anwendungen umzugehen ist.</w:t>
      </w:r>
    </w:p>
    <w:p>
      <w:r>
        <w:t xml:space="preserve">Sie gilt für alle Mitarbeitenden, einschließlich Auszubildender, Hospitantinnen und Hospitanten, Aushilfen sowie extern beauftragter Personen, und zwar unabhängig davon, ob die Nutzung auf einem Dienstgerät oder einem privaten Gerät erfolgt.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EF2F8" w:sz="2"/>
              <w:left w:val="single" w:color="2F5496" w:sz="18"/>
              <w:bottom w:val="single" w:color="EEF2F8" w:sz="2"/>
              <w:right w:val="single" w:color="EEF2F8" w:sz="2"/>
            </w:tcBorders>
            <w:shd w:fill="EEF2F8" w:color="auto" w:val="clear"/>
            <w:tcMar>
              <w:top w:type="dxa" w:w="160"/>
              <w:left w:type="dxa" w:w="200"/>
              <w:bottom w:type="dxa" w:w="160"/>
              <w:right w:type="dxa" w:w="200"/>
            </w:tcMar>
          </w:tcPr>
          <w:p>
            <w:pPr>
              <w:spacing w:after="60"/>
            </w:pPr>
            <w:r>
              <w:rPr>
                <w:b/>
                <w:bCs/>
                <w:sz w:val="21"/>
                <w:szCs w:val="21"/>
              </w:rPr>
              <w:t xml:space="preserve">Was als KI-Anwendung in diesem Sinne gilt</w:t>
            </w:r>
          </w:p>
          <w:p>
            <w:pPr>
              <w:spacing w:after="40"/>
            </w:pPr>
            <w:r>
              <w:rPr>
                <w:sz w:val="20"/>
                <w:szCs w:val="20"/>
              </w:rPr>
              <w:t xml:space="preserve">Sprachmodelle und Chatbots (z. B. ChatGPT, Copilot, Gemini, Claude, Perplexity)</w:t>
            </w:r>
          </w:p>
          <w:p>
            <w:pPr>
              <w:spacing w:after="40"/>
            </w:pPr>
            <w:r>
              <w:rPr>
                <w:sz w:val="20"/>
                <w:szCs w:val="20"/>
              </w:rPr>
              <w:t xml:space="preserve">Spracherkennung und Diktierlösungen mit KI-Komponente</w:t>
            </w:r>
          </w:p>
          <w:p>
            <w:pPr>
              <w:spacing w:after="40"/>
            </w:pPr>
            <w:r>
              <w:rPr>
                <w:sz w:val="20"/>
                <w:szCs w:val="20"/>
              </w:rPr>
              <w:t xml:space="preserve">KI-Funktionen, die in bereits genutzte Software eingebaut sind (Praxisverwaltung, Office, Browser, Terminbuchung, Telefonanlage)</w:t>
            </w:r>
          </w:p>
          <w:p>
            <w:pPr>
              <w:spacing w:after="40"/>
            </w:pPr>
            <w:r>
              <w:rPr>
                <w:sz w:val="20"/>
                <w:szCs w:val="20"/>
              </w:rPr>
              <w:t xml:space="preserve">Übersetzungs- und Zusammenfassungsdienste</w:t>
            </w:r>
          </w:p>
        </w:tc>
      </w:tr>
    </w:tbl>
    <w:p>
      <w:pPr>
        <w:spacing w:after="200"/>
      </w:pPr>
    </w:p>
    <w:p>
      <w:r>
        <w:t xml:space="preserve">Auch die bloße Nutzung eines fremden Dienstes macht unsere Einrichtung zum Betreiber im Sinne der KI-Verordnung. Es kommt nicht darauf an, ob wir selbst KI entwickeln.</w:t>
      </w:r>
    </w:p>
    <w:p>
      <w:pPr>
        <w:pStyle w:val="Heading1"/>
      </w:pPr>
      <w:r>
        <w:t xml:space="preserve">2. Freigegebene Anwendungen</w:t>
      </w:r>
    </w:p>
    <w:p>
      <w:r>
        <w:t xml:space="preserve">Nur die nachfolgend aufgeführten Anwendungen dürfen dienstlich genutzt werden. Die Liste wird von der oben benannten verantwortlichen Person gepflegt. Anwendungen, die nicht aufgeführt sind, sind nicht freigegeben – auch dann nicht, wenn sie kostenlos oder weit verbreitet sind.</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200"/>
        <w:gridCol w:w="1100"/>
        <w:gridCol w:w="1100"/>
      </w:tblGrid>
      <w:tr>
        <w:trPr>
          <w:tblHeader/>
        </w:trPr>
        <w:tc>
          <w:tcPr>
            <w:tcW w:type="dxa" w:w="2300"/>
            <w:shd w:fill="E8EDF5" w:color="auto" w:val="clear"/>
            <w:tcMar>
              <w:top w:type="dxa" w:w="80"/>
              <w:left w:type="dxa" w:w="110"/>
              <w:bottom w:type="dxa" w:w="80"/>
              <w:right w:type="dxa" w:w="110"/>
            </w:tcMar>
          </w:tcPr>
          <w:p>
            <w:pPr>
              <w:spacing w:after="0"/>
            </w:pPr>
            <w:r>
              <w:rPr>
                <w:b/>
                <w:bCs/>
                <w:sz w:val="20"/>
                <w:szCs w:val="20"/>
              </w:rPr>
              <w:t xml:space="preserve">Anwendung</w:t>
            </w:r>
          </w:p>
        </w:tc>
        <w:tc>
          <w:tcPr>
            <w:tcW w:type="dxa" w:w="2300"/>
            <w:shd w:fill="E8EDF5" w:color="auto" w:val="clear"/>
            <w:tcMar>
              <w:top w:type="dxa" w:w="80"/>
              <w:left w:type="dxa" w:w="110"/>
              <w:bottom w:type="dxa" w:w="80"/>
              <w:right w:type="dxa" w:w="110"/>
            </w:tcMar>
          </w:tcPr>
          <w:p>
            <w:pPr>
              <w:spacing w:after="0"/>
            </w:pPr>
            <w:r>
              <w:rPr>
                <w:b/>
                <w:bCs/>
                <w:sz w:val="20"/>
                <w:szCs w:val="20"/>
              </w:rPr>
              <w:t xml:space="preserve">Zulässiger Zweck</w:t>
            </w:r>
          </w:p>
        </w:tc>
        <w:tc>
          <w:tcPr>
            <w:tcW w:type="dxa" w:w="2200"/>
            <w:shd w:fill="E8EDF5" w:color="auto" w:val="clear"/>
            <w:tcMar>
              <w:top w:type="dxa" w:w="80"/>
              <w:left w:type="dxa" w:w="110"/>
              <w:bottom w:type="dxa" w:w="80"/>
              <w:right w:type="dxa" w:w="110"/>
            </w:tcMar>
          </w:tcPr>
          <w:p>
            <w:pPr>
              <w:spacing w:after="0"/>
            </w:pPr>
            <w:r>
              <w:rPr>
                <w:b/>
                <w:bCs/>
                <w:sz w:val="20"/>
                <w:szCs w:val="20"/>
              </w:rPr>
              <w:t xml:space="preserve">Freigegeben für</w:t>
            </w:r>
          </w:p>
        </w:tc>
        <w:tc>
          <w:tcPr>
            <w:tcW w:type="dxa" w:w="1100"/>
            <w:shd w:fill="E8EDF5" w:color="auto" w:val="clear"/>
            <w:tcMar>
              <w:top w:type="dxa" w:w="80"/>
              <w:left w:type="dxa" w:w="110"/>
              <w:bottom w:type="dxa" w:w="80"/>
              <w:right w:type="dxa" w:w="110"/>
            </w:tcMar>
          </w:tcPr>
          <w:p>
            <w:pPr>
              <w:spacing w:after="0"/>
            </w:pPr>
            <w:r>
              <w:rPr>
                <w:b/>
                <w:bCs/>
                <w:sz w:val="20"/>
                <w:szCs w:val="20"/>
              </w:rPr>
              <w:t xml:space="preserve">Konto</w:t>
            </w:r>
          </w:p>
        </w:tc>
        <w:tc>
          <w:tcPr>
            <w:tcW w:type="dxa" w:w="1100"/>
            <w:shd w:fill="E8EDF5" w:color="auto" w:val="clear"/>
            <w:tcMar>
              <w:top w:type="dxa" w:w="80"/>
              <w:left w:type="dxa" w:w="110"/>
              <w:bottom w:type="dxa" w:w="80"/>
              <w:right w:type="dxa" w:w="110"/>
            </w:tcMar>
          </w:tcPr>
          <w:p>
            <w:pPr>
              <w:spacing w:after="0"/>
            </w:pPr>
            <w:r>
              <w:rPr>
                <w:b/>
                <w:bCs/>
                <w:sz w:val="20"/>
                <w:szCs w:val="20"/>
              </w:rPr>
              <w:t xml:space="preserve">Stand</w:t>
            </w:r>
          </w:p>
        </w:tc>
      </w:tr>
      <w:tr>
        <w:trPr>
          <w:trHeight w:val="400" w:hRule="atLeast"/>
        </w:trPr>
        <w:tc>
          <w:tcPr>
            <w:tcW w:type="dxa" w:w="2300"/>
            <w:tcMar>
              <w:top w:type="dxa" w:w="80"/>
              <w:left w:type="dxa" w:w="110"/>
              <w:bottom w:type="dxa" w:w="80"/>
              <w:right w:type="dxa" w:w="110"/>
            </w:tcMar>
          </w:tcPr>
          <w:p>
            <w:pPr>
              <w:spacing w:after="0"/>
            </w:pPr>
            <w:r>
              <w:rPr>
                <w:sz w:val="20"/>
                <w:szCs w:val="20"/>
              </w:rPr>
              <w:t xml:space="preserve"/>
            </w:r>
          </w:p>
        </w:tc>
        <w:tc>
          <w:tcPr>
            <w:tcW w:type="dxa" w:w="2300"/>
            <w:tcMar>
              <w:top w:type="dxa" w:w="80"/>
              <w:left w:type="dxa" w:w="110"/>
              <w:bottom w:type="dxa" w:w="80"/>
              <w:right w:type="dxa" w:w="110"/>
            </w:tcMar>
          </w:tcPr>
          <w:p>
            <w:pPr>
              <w:spacing w:after="0"/>
            </w:pPr>
            <w:r>
              <w:rPr>
                <w:sz w:val="20"/>
                <w:szCs w:val="20"/>
              </w:rPr>
              <w:t xml:space="preserve"/>
            </w:r>
          </w:p>
        </w:tc>
        <w:tc>
          <w:tcPr>
            <w:tcW w:type="dxa" w:w="22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2300"/>
            <w:shd w:fill="F5F7FA" w:color="auto" w:val="clear"/>
            <w:tcMar>
              <w:top w:type="dxa" w:w="80"/>
              <w:left w:type="dxa" w:w="110"/>
              <w:bottom w:type="dxa" w:w="80"/>
              <w:right w:type="dxa" w:w="110"/>
            </w:tcMar>
          </w:tcPr>
          <w:p>
            <w:pPr>
              <w:spacing w:after="0"/>
            </w:pPr>
            <w:r>
              <w:rPr>
                <w:sz w:val="20"/>
                <w:szCs w:val="20"/>
              </w:rPr>
              <w:t xml:space="preserve"/>
            </w:r>
          </w:p>
        </w:tc>
        <w:tc>
          <w:tcPr>
            <w:tcW w:type="dxa" w:w="2300"/>
            <w:shd w:fill="F5F7FA" w:color="auto" w:val="clear"/>
            <w:tcMar>
              <w:top w:type="dxa" w:w="80"/>
              <w:left w:type="dxa" w:w="110"/>
              <w:bottom w:type="dxa" w:w="80"/>
              <w:right w:type="dxa" w:w="110"/>
            </w:tcMar>
          </w:tcPr>
          <w:p>
            <w:pPr>
              <w:spacing w:after="0"/>
            </w:pPr>
            <w:r>
              <w:rPr>
                <w:sz w:val="20"/>
                <w:szCs w:val="20"/>
              </w:rPr>
              <w:t xml:space="preserve"/>
            </w:r>
          </w:p>
        </w:tc>
        <w:tc>
          <w:tcPr>
            <w:tcW w:type="dxa" w:w="2200"/>
            <w:shd w:fill="F5F7FA" w:color="auto" w:val="clear"/>
            <w:tcMar>
              <w:top w:type="dxa" w:w="80"/>
              <w:left w:type="dxa" w:w="110"/>
              <w:bottom w:type="dxa" w:w="80"/>
              <w:right w:type="dxa" w:w="110"/>
            </w:tcMar>
          </w:tcPr>
          <w:p>
            <w:pPr>
              <w:spacing w:after="0"/>
            </w:pPr>
            <w:r>
              <w:rPr>
                <w:sz w:val="20"/>
                <w:szCs w:val="20"/>
              </w:rPr>
              <w:t xml:space="preserve"/>
            </w:r>
          </w:p>
        </w:tc>
        <w:tc>
          <w:tcPr>
            <w:tcW w:type="dxa" w:w="1100"/>
            <w:shd w:fill="F5F7FA" w:color="auto" w:val="clear"/>
            <w:tcMar>
              <w:top w:type="dxa" w:w="80"/>
              <w:left w:type="dxa" w:w="110"/>
              <w:bottom w:type="dxa" w:w="80"/>
              <w:right w:type="dxa" w:w="110"/>
            </w:tcMar>
          </w:tcPr>
          <w:p>
            <w:pPr>
              <w:spacing w:after="0"/>
            </w:pPr>
            <w:r>
              <w:rPr>
                <w:sz w:val="20"/>
                <w:szCs w:val="20"/>
              </w:rPr>
              <w:t xml:space="preserve"/>
            </w:r>
          </w:p>
        </w:tc>
        <w:tc>
          <w:tcPr>
            <w:tcW w:type="dxa" w:w="11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2300"/>
            <w:tcMar>
              <w:top w:type="dxa" w:w="80"/>
              <w:left w:type="dxa" w:w="110"/>
              <w:bottom w:type="dxa" w:w="80"/>
              <w:right w:type="dxa" w:w="110"/>
            </w:tcMar>
          </w:tcPr>
          <w:p>
            <w:pPr>
              <w:spacing w:after="0"/>
            </w:pPr>
            <w:r>
              <w:rPr>
                <w:sz w:val="20"/>
                <w:szCs w:val="20"/>
              </w:rPr>
              <w:t xml:space="preserve"/>
            </w:r>
          </w:p>
        </w:tc>
        <w:tc>
          <w:tcPr>
            <w:tcW w:type="dxa" w:w="2300"/>
            <w:tcMar>
              <w:top w:type="dxa" w:w="80"/>
              <w:left w:type="dxa" w:w="110"/>
              <w:bottom w:type="dxa" w:w="80"/>
              <w:right w:type="dxa" w:w="110"/>
            </w:tcMar>
          </w:tcPr>
          <w:p>
            <w:pPr>
              <w:spacing w:after="0"/>
            </w:pPr>
            <w:r>
              <w:rPr>
                <w:sz w:val="20"/>
                <w:szCs w:val="20"/>
              </w:rPr>
              <w:t xml:space="preserve"/>
            </w:r>
          </w:p>
        </w:tc>
        <w:tc>
          <w:tcPr>
            <w:tcW w:type="dxa" w:w="22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2300"/>
            <w:shd w:fill="F5F7FA" w:color="auto" w:val="clear"/>
            <w:tcMar>
              <w:top w:type="dxa" w:w="80"/>
              <w:left w:type="dxa" w:w="110"/>
              <w:bottom w:type="dxa" w:w="80"/>
              <w:right w:type="dxa" w:w="110"/>
            </w:tcMar>
          </w:tcPr>
          <w:p>
            <w:pPr>
              <w:spacing w:after="0"/>
            </w:pPr>
            <w:r>
              <w:rPr>
                <w:sz w:val="20"/>
                <w:szCs w:val="20"/>
              </w:rPr>
              <w:t xml:space="preserve"/>
            </w:r>
          </w:p>
        </w:tc>
        <w:tc>
          <w:tcPr>
            <w:tcW w:type="dxa" w:w="2300"/>
            <w:shd w:fill="F5F7FA" w:color="auto" w:val="clear"/>
            <w:tcMar>
              <w:top w:type="dxa" w:w="80"/>
              <w:left w:type="dxa" w:w="110"/>
              <w:bottom w:type="dxa" w:w="80"/>
              <w:right w:type="dxa" w:w="110"/>
            </w:tcMar>
          </w:tcPr>
          <w:p>
            <w:pPr>
              <w:spacing w:after="0"/>
            </w:pPr>
            <w:r>
              <w:rPr>
                <w:sz w:val="20"/>
                <w:szCs w:val="20"/>
              </w:rPr>
              <w:t xml:space="preserve"/>
            </w:r>
          </w:p>
        </w:tc>
        <w:tc>
          <w:tcPr>
            <w:tcW w:type="dxa" w:w="2200"/>
            <w:shd w:fill="F5F7FA" w:color="auto" w:val="clear"/>
            <w:tcMar>
              <w:top w:type="dxa" w:w="80"/>
              <w:left w:type="dxa" w:w="110"/>
              <w:bottom w:type="dxa" w:w="80"/>
              <w:right w:type="dxa" w:w="110"/>
            </w:tcMar>
          </w:tcPr>
          <w:p>
            <w:pPr>
              <w:spacing w:after="0"/>
            </w:pPr>
            <w:r>
              <w:rPr>
                <w:sz w:val="20"/>
                <w:szCs w:val="20"/>
              </w:rPr>
              <w:t xml:space="preserve"/>
            </w:r>
          </w:p>
        </w:tc>
        <w:tc>
          <w:tcPr>
            <w:tcW w:type="dxa" w:w="1100"/>
            <w:shd w:fill="F5F7FA" w:color="auto" w:val="clear"/>
            <w:tcMar>
              <w:top w:type="dxa" w:w="80"/>
              <w:left w:type="dxa" w:w="110"/>
              <w:bottom w:type="dxa" w:w="80"/>
              <w:right w:type="dxa" w:w="110"/>
            </w:tcMar>
          </w:tcPr>
          <w:p>
            <w:pPr>
              <w:spacing w:after="0"/>
            </w:pPr>
            <w:r>
              <w:rPr>
                <w:sz w:val="20"/>
                <w:szCs w:val="20"/>
              </w:rPr>
              <w:t xml:space="preserve"/>
            </w:r>
          </w:p>
        </w:tc>
        <w:tc>
          <w:tcPr>
            <w:tcW w:type="dxa" w:w="11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2300"/>
            <w:tcMar>
              <w:top w:type="dxa" w:w="80"/>
              <w:left w:type="dxa" w:w="110"/>
              <w:bottom w:type="dxa" w:w="80"/>
              <w:right w:type="dxa" w:w="110"/>
            </w:tcMar>
          </w:tcPr>
          <w:p>
            <w:pPr>
              <w:spacing w:after="0"/>
            </w:pPr>
            <w:r>
              <w:rPr>
                <w:sz w:val="20"/>
                <w:szCs w:val="20"/>
              </w:rPr>
              <w:t xml:space="preserve"/>
            </w:r>
          </w:p>
        </w:tc>
        <w:tc>
          <w:tcPr>
            <w:tcW w:type="dxa" w:w="2300"/>
            <w:tcMar>
              <w:top w:type="dxa" w:w="80"/>
              <w:left w:type="dxa" w:w="110"/>
              <w:bottom w:type="dxa" w:w="80"/>
              <w:right w:type="dxa" w:w="110"/>
            </w:tcMar>
          </w:tcPr>
          <w:p>
            <w:pPr>
              <w:spacing w:after="0"/>
            </w:pPr>
            <w:r>
              <w:rPr>
                <w:sz w:val="20"/>
                <w:szCs w:val="20"/>
              </w:rPr>
              <w:t xml:space="preserve"/>
            </w:r>
          </w:p>
        </w:tc>
        <w:tc>
          <w:tcPr>
            <w:tcW w:type="dxa" w:w="22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r>
    </w:tbl>
    <w:p>
      <w:pPr>
        <w:spacing w:after="120"/>
      </w:pPr>
    </w:p>
    <w:p>
      <w:r>
        <w:rPr>
          <w:sz w:val="20"/>
          <w:szCs w:val="20"/>
        </w:rPr>
        <w:t xml:space="preserve">Für jede freigegebene Anwendung ist zu prüfen, ob ein Vertrag über die Auftragsverarbeitung nach Art. 28 DSGVO vorliegt und wo die Daten verarbeitet werden. Fehlt ein solcher Vertrag, dürfen mit der Anwendung keinerlei personenbezogene Daten verarbeitet werden.</w:t>
      </w:r>
    </w:p>
    <w:p>
      <w:r>
        <w:br w:type="page"/>
      </w:r>
    </w:p>
    <w:p>
      <w:pPr>
        <w:pStyle w:val="Heading1"/>
      </w:pPr>
      <w:r>
        <w:t xml:space="preserve">3. Verbote ohne Ausnahme</w:t>
      </w:r>
    </w:p>
    <w:p>
      <w:r>
        <w:t xml:space="preserve">Die folgenden Handlungen sind untersagt. Verstöße können arbeitsrechtliche Konsequenzen haben und im Einzelfall strafbar sein.</w:t>
      </w:r>
    </w:p>
    <w:p>
      <w:pPr>
        <w:pStyle w:val="ListParagraph"/>
        <w:numPr>
          <w:ilvl w:val="0"/>
          <w:numId w:val="2"/>
        </w:numPr>
      </w:pPr>
      <w:r>
        <w:t xml:space="preserve">Eingabe von Patientendaten in eine nicht freigegebene Anwendung. Dazu zählen Namen, Geburtsdaten, Adressen, Versichertennummern, Diagnosen, Befunde, Medikation, Fotos und Tonaufnahmen.</w:t>
      </w:r>
    </w:p>
    <w:p>
      <w:pPr>
        <w:pStyle w:val="ListParagraph"/>
        <w:numPr>
          <w:ilvl w:val="0"/>
          <w:numId w:val="2"/>
        </w:numPr>
      </w:pPr>
      <w:r>
        <w:t xml:space="preserve">Hochladen oder Abfotografieren von Arztbriefen, Befunden, Laborwerten, Pflegedokumentation, Röntgen- oder sonstigen Bildaufnahmen.</w:t>
      </w:r>
    </w:p>
    <w:p>
      <w:pPr>
        <w:pStyle w:val="ListParagraph"/>
        <w:numPr>
          <w:ilvl w:val="0"/>
          <w:numId w:val="2"/>
        </w:numPr>
      </w:pPr>
      <w:r>
        <w:t xml:space="preserve">Übernahme eines KI-Ergebnisses in die Patientenakte, in einen Arztbrief, in eine Pflegeplanung oder in eine Abrechnung, ohne dass eine fachlich zuständige Person es vorher inhaltlich geprüft und freigegeben hat.</w:t>
      </w:r>
    </w:p>
    <w:p>
      <w:pPr>
        <w:pStyle w:val="ListParagraph"/>
        <w:numPr>
          <w:ilvl w:val="0"/>
          <w:numId w:val="2"/>
        </w:numPr>
      </w:pPr>
      <w:r>
        <w:t xml:space="preserve">Nutzung von KI-Ergebnissen als alleinige Grundlage für eine Diagnose, eine Therapieentscheidung oder eine Medikationsänderung.</w:t>
      </w:r>
    </w:p>
    <w:p>
      <w:pPr>
        <w:pStyle w:val="ListParagraph"/>
        <w:numPr>
          <w:ilvl w:val="0"/>
          <w:numId w:val="2"/>
        </w:numPr>
      </w:pPr>
      <w:r>
        <w:t xml:space="preserve">Weitergabe von Zugangsdaten dienstlicher KI-Konten an Dritte oder Nutzung privater Konten für dienstliche Inhalte mit Personenbezug.</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BEAEA" w:sz="2"/>
              <w:left w:val="single" w:color="B4322C" w:sz="18"/>
              <w:bottom w:val="single" w:color="FBEAEA" w:sz="2"/>
              <w:right w:val="single" w:color="FBEAEA" w:sz="2"/>
            </w:tcBorders>
            <w:shd w:fill="FBEAEA" w:color="auto" w:val="clear"/>
            <w:tcMar>
              <w:top w:type="dxa" w:w="160"/>
              <w:left w:type="dxa" w:w="200"/>
              <w:bottom w:type="dxa" w:w="160"/>
              <w:right w:type="dxa" w:w="200"/>
            </w:tcMar>
          </w:tcPr>
          <w:p>
            <w:pPr>
              <w:spacing w:after="60"/>
            </w:pPr>
            <w:r>
              <w:rPr>
                <w:b/>
                <w:bCs/>
                <w:sz w:val="21"/>
                <w:szCs w:val="21"/>
              </w:rPr>
              <w:t xml:space="preserve">Rechtlicher Hintergrund</w:t>
            </w:r>
          </w:p>
          <w:p>
            <w:pPr>
              <w:spacing w:after="40"/>
            </w:pPr>
            <w:r>
              <w:rPr>
                <w:sz w:val="20"/>
                <w:szCs w:val="20"/>
              </w:rPr>
              <w:t xml:space="preserve">Die ärztliche und pflegerische Schweigepflicht nach § 203 StGB gilt auch gegenüber Softwareanbietern. Eine Offenbarung liegt bereits vor, wenn geschützte Informationen in ein System eingegeben werden, auf das ein Dritter zugreifen kann.</w:t>
            </w:r>
          </w:p>
          <w:p>
            <w:pPr>
              <w:spacing w:after="40"/>
            </w:pPr>
            <w:r>
              <w:rPr>
                <w:sz w:val="20"/>
                <w:szCs w:val="20"/>
              </w:rPr>
              <w:t xml:space="preserve">Die Verarbeitung von Gesundheitsdaten unterliegt zusätzlich Art. 9 DSGVO und erfordert eine eigene Rechtsgrundlage.</w:t>
            </w:r>
          </w:p>
        </w:tc>
      </w:tr>
    </w:tbl>
    <w:p>
      <w:pPr>
        <w:pStyle w:val="Heading1"/>
      </w:pPr>
      <w:r>
        <w:t xml:space="preserve">4. Zulässige Nutzung</w:t>
      </w:r>
    </w:p>
    <w:p>
      <w:r>
        <w:t xml:space="preserve">Innerhalb der freigegebenen Anwendungen ist die Nutzung erlaubt, solange keine Angaben enthalten sind, die auf eine bestimmte Person zurückführbar sind. Zulässig sind insbesondere:</w:t>
      </w:r>
    </w:p>
    <w:p>
      <w:pPr>
        <w:pStyle w:val="ListParagraph"/>
        <w:numPr>
          <w:ilvl w:val="0"/>
          <w:numId w:val="2"/>
        </w:numPr>
      </w:pPr>
      <w:r>
        <w:t xml:space="preserve">allgemeine Formulierungs- und Übersetzungshilfen ohne Personenbezug</w:t>
      </w:r>
    </w:p>
    <w:p>
      <w:pPr>
        <w:pStyle w:val="ListParagraph"/>
        <w:numPr>
          <w:ilvl w:val="0"/>
          <w:numId w:val="2"/>
        </w:numPr>
      </w:pPr>
      <w:r>
        <w:t xml:space="preserve">Entwürfe für interne Texte, Aushänge, Stellenanzeigen, Dienstpläne und Organisationsunterlagen</w:t>
      </w:r>
    </w:p>
    <w:p>
      <w:pPr>
        <w:pStyle w:val="ListParagraph"/>
        <w:numPr>
          <w:ilvl w:val="0"/>
          <w:numId w:val="2"/>
        </w:numPr>
      </w:pPr>
      <w:r>
        <w:t xml:space="preserve">fachliche Recherche als Ausgangspunkt, mit anschließender Prüfung an einer belastbaren Quelle</w:t>
      </w:r>
    </w:p>
    <w:p>
      <w:pPr>
        <w:pStyle w:val="ListParagraph"/>
        <w:numPr>
          <w:ilvl w:val="0"/>
          <w:numId w:val="2"/>
        </w:numPr>
      </w:pPr>
      <w:r>
        <w:t xml:space="preserve">Textarbeit an Fällen, die zuvor so verändert wurden, dass ein Rückschluss auf die betroffene Person ausgeschlossen ist</w:t>
      </w:r>
    </w:p>
    <w:p>
      <w:r>
        <w:t xml:space="preserve">Maßstab für die Veränderung: Eine Person, die unsere Einrichtung kennt, darf aus dem eingegebenen Text nicht erkennen können, um wen es geht. Das Weglassen des Namens allein genügt dafür in der Regel nicht.</w:t>
      </w:r>
    </w:p>
    <w:p>
      <w:pPr>
        <w:pStyle w:val="Heading1"/>
      </w:pPr>
      <w:r>
        <w:t xml:space="preserve">5. Verantwortlichkeiten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DF5" w:color="auto" w:val="clear"/>
            <w:tcMar>
              <w:top w:type="dxa" w:w="80"/>
              <w:left w:type="dxa" w:w="110"/>
              <w:bottom w:type="dxa" w:w="80"/>
              <w:right w:type="dxa" w:w="110"/>
            </w:tcMar>
          </w:tcPr>
          <w:p>
            <w:pPr>
              <w:spacing w:after="0"/>
            </w:pPr>
            <w:r>
              <w:rPr>
                <w:b/>
                <w:bCs/>
                <w:sz w:val="20"/>
                <w:szCs w:val="20"/>
              </w:rPr>
              <w:t xml:space="preserve">Rolle</w:t>
            </w:r>
          </w:p>
        </w:tc>
        <w:tc>
          <w:tcPr>
            <w:tcW w:type="dxa" w:w="6400"/>
            <w:shd w:fill="E8EDF5" w:color="auto" w:val="clear"/>
            <w:tcMar>
              <w:top w:type="dxa" w:w="80"/>
              <w:left w:type="dxa" w:w="110"/>
              <w:bottom w:type="dxa" w:w="80"/>
              <w:right w:type="dxa" w:w="110"/>
            </w:tcMar>
          </w:tcPr>
          <w:p>
            <w:pPr>
              <w:spacing w:after="0"/>
            </w:pPr>
            <w:r>
              <w:rPr>
                <w:b/>
                <w:bCs/>
                <w:sz w:val="20"/>
                <w:szCs w:val="20"/>
              </w:rPr>
              <w:t xml:space="preserve">Aufgabe</w:t>
            </w:r>
          </w:p>
        </w:tc>
      </w:tr>
      <w:tr>
        <w:tc>
          <w:tcPr>
            <w:tcW w:type="dxa" w:w="2600"/>
            <w:tcMar>
              <w:top w:type="dxa" w:w="80"/>
              <w:left w:type="dxa" w:w="110"/>
              <w:bottom w:type="dxa" w:w="80"/>
              <w:right w:type="dxa" w:w="110"/>
            </w:tcMar>
          </w:tcPr>
          <w:p>
            <w:pPr>
              <w:spacing w:after="0"/>
            </w:pPr>
            <w:r>
              <w:rPr>
                <w:sz w:val="20"/>
                <w:szCs w:val="20"/>
              </w:rPr>
              <w:t xml:space="preserve">Leitung</w:t>
            </w:r>
          </w:p>
        </w:tc>
        <w:tc>
          <w:tcPr>
            <w:tcW w:type="dxa" w:w="6400"/>
            <w:tcMar>
              <w:top w:type="dxa" w:w="80"/>
              <w:left w:type="dxa" w:w="110"/>
              <w:bottom w:type="dxa" w:w="80"/>
              <w:right w:type="dxa" w:w="110"/>
            </w:tcMar>
          </w:tcPr>
          <w:p>
            <w:pPr>
              <w:spacing w:after="0"/>
            </w:pPr>
            <w:r>
              <w:rPr>
                <w:sz w:val="20"/>
                <w:szCs w:val="20"/>
              </w:rPr>
              <w:t xml:space="preserve">Verabschiedet diese Richtlinie, stellt die Schulung sicher, entscheidet über Freigaben.</w:t>
            </w:r>
          </w:p>
        </w:tc>
      </w:tr>
      <w:tr>
        <w:tc>
          <w:tcPr>
            <w:tcW w:type="dxa" w:w="2600"/>
            <w:shd w:fill="F5F7FA" w:color="auto" w:val="clear"/>
            <w:tcMar>
              <w:top w:type="dxa" w:w="80"/>
              <w:left w:type="dxa" w:w="110"/>
              <w:bottom w:type="dxa" w:w="80"/>
              <w:right w:type="dxa" w:w="110"/>
            </w:tcMar>
          </w:tcPr>
          <w:p>
            <w:pPr>
              <w:spacing w:after="0"/>
            </w:pPr>
            <w:r>
              <w:rPr>
                <w:sz w:val="20"/>
                <w:szCs w:val="20"/>
              </w:rPr>
              <w:t xml:space="preserve">Ansprechperson KI</w:t>
            </w:r>
          </w:p>
        </w:tc>
        <w:tc>
          <w:tcPr>
            <w:tcW w:type="dxa" w:w="6400"/>
            <w:shd w:fill="F5F7FA" w:color="auto" w:val="clear"/>
            <w:tcMar>
              <w:top w:type="dxa" w:w="80"/>
              <w:left w:type="dxa" w:w="110"/>
              <w:bottom w:type="dxa" w:w="80"/>
              <w:right w:type="dxa" w:w="110"/>
            </w:tcMar>
          </w:tcPr>
          <w:p>
            <w:pPr>
              <w:spacing w:after="0"/>
            </w:pPr>
            <w:r>
              <w:rPr>
                <w:sz w:val="20"/>
                <w:szCs w:val="20"/>
              </w:rPr>
              <w:t xml:space="preserve">Pflegt die Liste der freigegebenen Anwendungen, ist erste Anlaufstelle bei Zweifeln, dokumentiert Vorfälle.</w:t>
            </w:r>
          </w:p>
        </w:tc>
      </w:tr>
      <w:tr>
        <w:tc>
          <w:tcPr>
            <w:tcW w:type="dxa" w:w="2600"/>
            <w:tcMar>
              <w:top w:type="dxa" w:w="80"/>
              <w:left w:type="dxa" w:w="110"/>
              <w:bottom w:type="dxa" w:w="80"/>
              <w:right w:type="dxa" w:w="110"/>
            </w:tcMar>
          </w:tcPr>
          <w:p>
            <w:pPr>
              <w:spacing w:after="0"/>
            </w:pPr>
            <w:r>
              <w:rPr>
                <w:sz w:val="20"/>
                <w:szCs w:val="20"/>
              </w:rPr>
              <w:t xml:space="preserve">Alle Mitarbeitenden</w:t>
            </w:r>
          </w:p>
        </w:tc>
        <w:tc>
          <w:tcPr>
            <w:tcW w:type="dxa" w:w="6400"/>
            <w:tcMar>
              <w:top w:type="dxa" w:w="80"/>
              <w:left w:type="dxa" w:w="110"/>
              <w:bottom w:type="dxa" w:w="80"/>
              <w:right w:type="dxa" w:w="110"/>
            </w:tcMar>
          </w:tcPr>
          <w:p>
            <w:pPr>
              <w:spacing w:after="0"/>
            </w:pPr>
            <w:r>
              <w:rPr>
                <w:sz w:val="20"/>
                <w:szCs w:val="20"/>
              </w:rPr>
              <w:t xml:space="preserve">Halten die Verbote ein, prüfen KI-Ergebnisse vor Verwendung, melden Vorfälle unverzüglich.</w:t>
            </w:r>
          </w:p>
        </w:tc>
      </w:tr>
      <w:tr>
        <w:tc>
          <w:tcPr>
            <w:tcW w:type="dxa" w:w="2600"/>
            <w:shd w:fill="F5F7FA" w:color="auto" w:val="clear"/>
            <w:tcMar>
              <w:top w:type="dxa" w:w="80"/>
              <w:left w:type="dxa" w:w="110"/>
              <w:bottom w:type="dxa" w:w="80"/>
              <w:right w:type="dxa" w:w="110"/>
            </w:tcMar>
          </w:tcPr>
          <w:p>
            <w:pPr>
              <w:spacing w:after="0"/>
            </w:pPr>
            <w:r>
              <w:rPr>
                <w:sz w:val="20"/>
                <w:szCs w:val="20"/>
              </w:rPr>
              <w:t xml:space="preserve">Datenschutzbeauftragte(r)</w:t>
            </w:r>
          </w:p>
        </w:tc>
        <w:tc>
          <w:tcPr>
            <w:tcW w:type="dxa" w:w="6400"/>
            <w:shd w:fill="F5F7FA" w:color="auto" w:val="clear"/>
            <w:tcMar>
              <w:top w:type="dxa" w:w="80"/>
              <w:left w:type="dxa" w:w="110"/>
              <w:bottom w:type="dxa" w:w="80"/>
              <w:right w:type="dxa" w:w="110"/>
            </w:tcMar>
          </w:tcPr>
          <w:p>
            <w:pPr>
              <w:spacing w:after="0"/>
            </w:pPr>
            <w:r>
              <w:rPr>
                <w:sz w:val="20"/>
                <w:szCs w:val="20"/>
              </w:rPr>
              <w:t xml:space="preserve">Wird bei neuen Anwendungen mit Personenbezug und bei jedem meldepflichtigen Vorfall einbezogen.</w:t>
            </w:r>
          </w:p>
        </w:tc>
      </w:tr>
    </w:tbl>
    <w:p>
      <w:r>
        <w:br w:type="page"/>
      </w:r>
    </w:p>
    <w:p>
      <w:pPr>
        <w:pStyle w:val="Heading1"/>
      </w:pPr>
      <w:r>
        <w:t xml:space="preserve">6. Vorgehen bei Vorfällen</w:t>
      </w:r>
    </w:p>
    <w:p>
      <w:r>
        <w:t xml:space="preserve">Ein Vorfall liegt vor, wenn Daten mit Personenbezug in eine nicht freigegebene Anwendung gelangt sind oder ein ungeprüftes KI-Ergebnis in ein Dokument übernommen wurde. Entscheidend ist die schnelle Meldung, nicht die Schuldfrage.</w:t>
      </w:r>
    </w:p>
    <w:p>
      <w:pPr>
        <w:pStyle w:val="ListParagraph"/>
        <w:numPr>
          <w:ilvl w:val="0"/>
          <w:numId w:val="3"/>
        </w:numPr>
      </w:pPr>
      <w:r>
        <w:t xml:space="preserve">Eingabe sofort beenden, Fenster nicht schließen, Bildschirmfoto zur Dokumentation anfertigen.</w:t>
      </w:r>
    </w:p>
    <w:p>
      <w:pPr>
        <w:pStyle w:val="ListParagraph"/>
        <w:numPr>
          <w:ilvl w:val="0"/>
          <w:numId w:val="3"/>
        </w:numPr>
      </w:pPr>
      <w:r>
        <w:t xml:space="preserve">Ansprechperson KI oder Leitung umgehend informieren – noch am selben Tag.</w:t>
      </w:r>
    </w:p>
    <w:p>
      <w:pPr>
        <w:pStyle w:val="ListParagraph"/>
        <w:numPr>
          <w:ilvl w:val="0"/>
          <w:numId w:val="3"/>
        </w:numPr>
      </w:pPr>
      <w:r>
        <w:t xml:space="preserve">Sofern möglich, den Verlauf im Dienst löschen und die Löschung dokumentieren.</w:t>
      </w:r>
    </w:p>
    <w:p>
      <w:pPr>
        <w:pStyle w:val="ListParagraph"/>
        <w:numPr>
          <w:ilvl w:val="0"/>
          <w:numId w:val="3"/>
        </w:numPr>
      </w:pPr>
      <w:r>
        <w:t xml:space="preserve">Gemeinsam prüfen, ob eine Meldung nach Art. 33 DSGVO an die Aufsichtsbehörde erforderlich ist. Die Frist beträgt 72 Stunden ab Kenntnis.</w:t>
      </w:r>
    </w:p>
    <w:p>
      <w:pPr>
        <w:pStyle w:val="ListParagraph"/>
        <w:numPr>
          <w:ilvl w:val="0"/>
          <w:numId w:val="3"/>
        </w:numPr>
      </w:pPr>
      <w:r>
        <w:t xml:space="preserve">Vorfall im Vorfallregister erfassen, unabhängig davon, ob gemeldet wurde.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AF3EC" w:sz="2"/>
              <w:left w:val="single" w:color="3D7A4B" w:sz="18"/>
              <w:bottom w:val="single" w:color="EAF3EC" w:sz="2"/>
              <w:right w:val="single" w:color="EAF3EC" w:sz="2"/>
            </w:tcBorders>
            <w:shd w:fill="EAF3EC" w:color="auto" w:val="clear"/>
            <w:tcMar>
              <w:top w:type="dxa" w:w="160"/>
              <w:left w:type="dxa" w:w="200"/>
              <w:bottom w:type="dxa" w:w="160"/>
              <w:right w:type="dxa" w:w="200"/>
            </w:tcMar>
          </w:tcPr>
          <w:p>
            <w:pPr>
              <w:spacing w:after="60"/>
            </w:pPr>
            <w:r>
              <w:rPr>
                <w:b/>
                <w:bCs/>
                <w:sz w:val="21"/>
                <w:szCs w:val="21"/>
              </w:rPr>
              <w:t xml:space="preserve">Zusicherung der Leitung</w:t>
            </w:r>
          </w:p>
          <w:p>
            <w:pPr>
              <w:spacing w:after="40"/>
            </w:pPr>
            <w:r>
              <w:rPr>
                <w:sz w:val="20"/>
                <w:szCs w:val="20"/>
              </w:rPr>
              <w:t xml:space="preserve">Wer einen eigenen Fehler unverzüglich meldet, muss keine arbeitsrechtlichen Nachteile befürchten. Das Verschweigen eines Vorfalls dagegen schon.</w:t>
            </w:r>
          </w:p>
        </w:tc>
      </w:tr>
    </w:tbl>
    <w:p>
      <w:pPr>
        <w:pStyle w:val="Heading1"/>
      </w:pPr>
      <w:r>
        <w:t xml:space="preserve">7. Schulung</w:t>
      </w:r>
    </w:p>
    <w:p>
      <w:r>
        <w:t xml:space="preserve">Alle Mitarbeitenden werden vor der ersten Nutzung und danach mindestens einmal jährlich unterwiesen. Inhalt, Dauer und Teilnehmende werden dokumentiert. Neu eintretende Mitarbeitende werden im Rahmen der Einarbeitung unterwiesen.</w:t>
      </w:r>
    </w:p>
    <w:p>
      <w:r>
        <w:rPr>
          <w:sz w:val="20"/>
          <w:szCs w:val="20"/>
        </w:rPr>
        <w:t xml:space="preserve">Grundlage ist Art. 4 der Verordnung (EU) 2024/1689 in der Fassung der Verordnung (EU) 2026/1744: Anbieter und Betreiber ergreifen Maßnahmen zur Förderung der KI-Kompetenz ihres Personals, wobei technische Kenntnisse, Erfahrung, Ausbildung und Einsatzkontext zu berücksichtigen sind.</w:t>
      </w:r>
    </w:p>
    <w:p>
      <w:pPr>
        <w:pStyle w:val="Heading1"/>
      </w:pPr>
      <w:r>
        <w:t xml:space="preserve">8. Inkrafttreten</w:t>
      </w:r>
    </w:p>
    <w:p>
      <w:r>
        <w:t xml:space="preserve">Diese Richtlinie tritt mit dem oben genannten Datum in Kraft. Sie wird mindestens jährlich überprüft und bei Einführung neuer Anwendungen angepasst.</w:t>
      </w:r>
    </w:p>
    <w:p>
      <w:pPr>
        <w:spacing w:after="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FFFFFF" w:color="auto" w:val="clear"/>
            <w:tcMar>
              <w:top w:type="dxa" w:w="80"/>
              <w:left w:type="dxa" w:w="110"/>
              <w:bottom w:type="dxa" w:w="80"/>
              <w:right w:type="dxa" w:w="110"/>
            </w:tcMar>
          </w:tcPr>
          <w:p>
            <w:pPr>
              <w:spacing w:after="0"/>
            </w:pPr>
            <w:r>
              <w:rPr>
                <w:b/>
                <w:bCs/>
                <w:sz w:val="20"/>
                <w:szCs w:val="20"/>
              </w:rPr>
              <w:t xml:space="preserve">Datum, Unterschrift Leitung</w:t>
            </w:r>
          </w:p>
        </w:tc>
        <w:tc>
          <w:tcPr>
            <w:tcW w:type="dxa" w:w="4500"/>
            <w:shd w:fill="FFFFFF" w:color="auto" w:val="clear"/>
            <w:tcMar>
              <w:top w:type="dxa" w:w="80"/>
              <w:left w:type="dxa" w:w="110"/>
              <w:bottom w:type="dxa" w:w="80"/>
              <w:right w:type="dxa" w:w="110"/>
            </w:tcMar>
          </w:tcPr>
          <w:p>
            <w:pPr>
              <w:spacing w:after="0"/>
            </w:pPr>
            <w:r>
              <w:rPr>
                <w:b/>
                <w:bCs/>
                <w:sz w:val="20"/>
                <w:szCs w:val="20"/>
              </w:rPr>
              <w:t xml:space="preserve">Datum, Unterschrift Ansprechperson KI</w:t>
            </w:r>
          </w:p>
        </w:tc>
      </w:tr>
      <w:tr>
        <w:trPr>
          <w:trHeight w:val="900" w:hRule="atLeast"/>
        </w:trPr>
        <w:tc>
          <w:tcPr>
            <w:tcW w:type="dxa" w:w="4500"/>
            <w:tcMar>
              <w:top w:type="dxa" w:w="80"/>
              <w:left w:type="dxa" w:w="110"/>
              <w:bottom w:type="dxa" w:w="80"/>
              <w:right w:type="dxa" w:w="110"/>
            </w:tcMar>
          </w:tcPr>
          <w:p>
            <w:pPr>
              <w:spacing w:after="0"/>
            </w:pPr>
            <w:r>
              <w:rPr>
                <w:sz w:val="20"/>
                <w:szCs w:val="20"/>
              </w:rPr>
              <w:t xml:space="preserve"/>
            </w:r>
          </w:p>
        </w:tc>
        <w:tc>
          <w:tcPr>
            <w:tcW w:type="dxa" w:w="4500"/>
            <w:tcMar>
              <w:top w:type="dxa" w:w="80"/>
              <w:left w:type="dxa" w:w="110"/>
              <w:bottom w:type="dxa" w:w="80"/>
              <w:right w:type="dxa" w:w="110"/>
            </w:tcMar>
          </w:tcPr>
          <w:p>
            <w:pPr>
              <w:spacing w:after="0"/>
            </w:pPr>
            <w:r>
              <w:rPr>
                <w:sz w:val="20"/>
                <w:szCs w:val="20"/>
              </w:rPr>
              <w:t xml:space="preserve"/>
            </w:r>
          </w:p>
        </w:tc>
      </w:tr>
    </w:tbl>
    <w:p>
      <w:pPr>
        <w:spacing w:after="240"/>
      </w:pPr>
    </w:p>
    <w:p>
      <w:r>
        <w:rPr>
          <w:i/>
          <w:iCs/>
          <w:color w:val="7F7F7F"/>
          <w:sz w:val="17"/>
          <w:szCs w:val="17"/>
        </w:rPr>
        <w:t xml:space="preserve">Diese Vorlage ist eine allgemeine Arbeitshilfe und ersetzt keine Rechtsberatung im Einzelfall. Rechtsstand September 2026.</w:t>
      </w:r>
    </w:p>
    <w:sectPr>
      <w:head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34"/>
      <w:szCs w:val="34"/>
    </w:rPr>
  </w:style>
  <w:style w:type="paragraph" w:styleId="Heading1">
    <w:name w:val="Heading 1"/>
    <w:basedOn w:val="Normal"/>
    <w:next w:val="Normal"/>
    <w:qFormat/>
    <w:pPr>
      <w:spacing w:after="120" w:before="320"/>
    </w:pPr>
    <w:rPr>
      <w:rFonts w:ascii="Calibri" w:cs="Calibri" w:eastAsia="Calibri" w:hAnsi="Calibri"/>
      <w:b/>
      <w:bCs/>
      <w:color w:val="1F3864"/>
      <w:sz w:val="26"/>
      <w:szCs w:val="26"/>
    </w:rPr>
  </w:style>
  <w:style w:type="paragraph" w:styleId="Heading2">
    <w:name w:val="Heading 2"/>
    <w:basedOn w:val="Normal"/>
    <w:next w:val="Normal"/>
    <w:qFormat/>
    <w:pPr>
      <w:spacing w:after="80" w:before="220"/>
    </w:pPr>
    <w:rPr>
      <w:rFonts w:ascii="Calibri" w:cs="Calibri" w:eastAsia="Calibri" w:hAnsi="Calibri"/>
      <w:b/>
      <w:bCs/>
      <w:color w:val="2F549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2026-09-13T14:05:02.631Z</dcterms:created>
  <dcterms:modified xsi:type="dcterms:W3CDTF">2026-09-13T14:05:02.631Z</dcterms:modified>
</cp:coreProperties>
</file>

<file path=docProps/custom.xml><?xml version="1.0" encoding="utf-8"?>
<Properties xmlns="http://schemas.openxmlformats.org/officeDocument/2006/custom-properties" xmlns:vt="http://schemas.openxmlformats.org/officeDocument/2006/docPropsVTypes"/>
</file>