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inline xmlns:a="http://schemas.openxmlformats.org/drawingml/2006/main" xmlns:pic="http://schemas.openxmlformats.org/drawingml/2006/picture">
            <wp:extent cx="187200" cy="181916"/>
            <wp:docPr id="1" name="Picture 1"/>
            <wp:cNvGraphicFramePr>
              <a:graphicFrameLocks noChangeAspect="1"/>
            </wp:cNvGraphicFramePr>
            <a:graphic>
              <a:graphicData uri="http://schemas.openxmlformats.org/drawingml/2006/picture">
                <pic:pic>
                  <pic:nvPicPr>
                    <pic:cNvPr id="0" name="logo-signal-header.png"/>
                    <pic:cNvPicPr/>
                  </pic:nvPicPr>
                  <pic:blipFill>
                    <a:blip r:embed="rId9"/>
                    <a:stretch>
                      <a:fillRect/>
                    </a:stretch>
                  </pic:blipFill>
                  <pic:spPr>
                    <a:xfrm>
                      <a:off x="0" y="0"/>
                      <a:ext cx="187200" cy="181916"/>
                    </a:xfrm>
                    <a:prstGeom prst="rect"/>
                  </pic:spPr>
                </pic:pic>
              </a:graphicData>
            </a:graphic>
          </wp:inline>
        </w:drawing>
      </w:r>
      <w:r>
        <w:t xml:space="preserve">  </w:t>
      </w:r>
      <w:pPr>
        <w:pStyle w:val="Title"/>
        <w:ind w:left="113"/>
        <w:jc w:val="left"/>
      </w:pPr>
      <w:r>
        <w:t xml:space="preserve">KI im Praxis- und Pflegealltag</w:t>
      </w:r>
    </w:p>
    <w:p>
      <w:pPr>
        <w:pBdr>
          <w:bottom w:val="single" w:color="BFBFBF" w:sz="6" w:space="8"/>
        </w:pBdr>
        <w:spacing w:after="240"/>
      </w:pPr>
      <w:r>
        <w:rPr>
          <w:i/>
          <w:iCs/>
          <w:color w:val="595959"/>
          <w:sz w:val="20"/>
          <w:szCs w:val="20"/>
        </w:rPr>
        <w:t xml:space="preserve">Handout für das Team – zum Nachlesen und Aufhängen</w:t>
      </w:r>
    </w:p>
    <w:p>
      <w:r>
        <w:t xml:space="preserve">Sprachmodelle sind im Arbeitsalltag angekommen. Sie schreiben Entwürfe, fassen zusammen, übersetzen und erklären. Sie tun das schnell und überzeugend – und genau darin liegt das Risiko. Dieses Handout fasst zusammen, was Sie brauchen, um sie sicher zu nutzen.</w:t>
      </w:r>
    </w:p>
    <w:p>
      <w:pPr>
        <w:pStyle w:val="Heading1"/>
      </w:pPr>
      <w:r>
        <w:t xml:space="preserve">Warum das Thema uns betrifft</w:t>
      </w:r>
    </w:p>
    <w:p>
      <w:r>
        <w:t xml:space="preserve">Wer KI beruflich einsetzt, gilt rechtlich als Betreiber. Das gilt auch dann, wenn wir nur einen kostenlosen Dienst im Browser öffnen. Daraus folgt: Wir müssen wissen, was wir tun, und wir müssen erklären können, wie wir es tun.</w:t>
      </w:r>
    </w:p>
    <w:p>
      <w:r>
        <w:t xml:space="preserve">Hinzu kommt etwas, das älter ist als jede KI-Regulierung – die Schweigepflicht. Sie gilt gegenüber jedem Dritten, und ein Softwareanbieter ist ein Dritter.</w:t>
      </w:r>
    </w:p>
    <w:p>
      <w:pPr>
        <w:pStyle w:val="Heading1"/>
      </w:pPr>
      <w:r>
        <w:t xml:space="preserve">Drei Risiken, die Sie kennen müssen</w:t>
      </w:r>
    </w:p>
    <w:p>
      <w:pPr>
        <w:pStyle w:val="Heading2"/>
      </w:pPr>
      <w:r>
        <w:t xml:space="preserve">1. Vertraulichkeit</w:t>
      </w:r>
    </w:p>
    <w:p>
      <w:r>
        <w:t xml:space="preserve">Was Sie in ein Eingabefeld schreiben, verlässt das Haus. Je nach Anbieter wird es gespeichert, ausgewertet oder zur Verbesserung des Systems verwendet. Ein Name, ein Geburtsdatum und eine Diagnose in einem Satz genügen, um aus einer Formulierungshilfe eine Offenbarung zu machen.</w:t>
      </w:r>
    </w:p>
    <w:p>
      <w:pPr>
        <w:pStyle w:val="Heading2"/>
      </w:pPr>
      <w:r>
        <w:t xml:space="preserve">2. Richtigkeit</w:t>
      </w:r>
    </w:p>
    <w:p>
      <w:r>
        <w:t xml:space="preserve">Sprachmodelle erzeugen den wahrscheinlichsten nächsten Text, nicht den wahren. Sie erfinden Leitlinien, Dosierungen, Paragraphen und Quellenangaben – und tun das in einwandfreiem Deutsch, ohne jeden Hinweis auf Unsicherheit. Ein falscher Satz sieht aus wie ein richtiger.</w:t>
      </w:r>
    </w:p>
    <w:p>
      <w:pPr>
        <w:pStyle w:val="Heading2"/>
      </w:pPr>
      <w:r>
        <w:t xml:space="preserve">3. Verantwortung</w:t>
      </w:r>
    </w:p>
    <w:p>
      <w:r>
        <w:t xml:space="preserve">Die Verantwortung für ein Ergebnis bleibt bei der Person, die es verwendet. Es gibt keine Konstellation, in der die Software haftet. Wer einen KI-Text in die Akte übernimmt, macht ihn zu seinem eigenen.</w:t>
      </w:r>
    </w:p>
    <w:p>
      <w:r>
        <w:br w:type="page"/>
      </w:r>
    </w:p>
    <w:p>
      <w:pPr>
        <w:pStyle w:val="Heading1"/>
      </w:pPr>
      <w:r>
        <w:t xml:space="preserve">Die Ampel für den Alltag</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4100"/>
        <w:gridCol w:w="3600"/>
      </w:tblGrid>
      <w:tr>
        <w:trPr>
          <w:tblHeader/>
        </w:trPr>
        <w:tc>
          <w:tcPr>
            <w:tcW w:type="dxa" w:w="1300"/>
            <w:shd w:fill="E8EDF5" w:color="auto" w:val="clear"/>
            <w:tcMar>
              <w:top w:type="dxa" w:w="80"/>
              <w:left w:type="dxa" w:w="110"/>
              <w:bottom w:type="dxa" w:w="80"/>
              <w:right w:type="dxa" w:w="110"/>
            </w:tcMar>
          </w:tcPr>
          <w:p>
            <w:pPr>
              <w:spacing w:after="0"/>
            </w:pPr>
            <w:r>
              <w:rPr>
                <w:b/>
                <w:bCs/>
                <w:sz w:val="20"/>
                <w:szCs w:val="20"/>
              </w:rPr>
              <w:t xml:space="preserve"/>
            </w:r>
          </w:p>
        </w:tc>
        <w:tc>
          <w:tcPr>
            <w:tcW w:type="dxa" w:w="4100"/>
            <w:shd w:fill="E8EDF5" w:color="auto" w:val="clear"/>
            <w:tcMar>
              <w:top w:type="dxa" w:w="80"/>
              <w:left w:type="dxa" w:w="110"/>
              <w:bottom w:type="dxa" w:w="80"/>
              <w:right w:type="dxa" w:w="110"/>
            </w:tcMar>
          </w:tcPr>
          <w:p>
            <w:pPr>
              <w:spacing w:after="0"/>
            </w:pPr>
            <w:r>
              <w:rPr>
                <w:b/>
                <w:bCs/>
                <w:sz w:val="20"/>
                <w:szCs w:val="20"/>
              </w:rPr>
              <w:t xml:space="preserve">Was gemeint ist</w:t>
            </w:r>
          </w:p>
        </w:tc>
        <w:tc>
          <w:tcPr>
            <w:tcW w:type="dxa" w:w="3600"/>
            <w:shd w:fill="E8EDF5" w:color="auto" w:val="clear"/>
            <w:tcMar>
              <w:top w:type="dxa" w:w="80"/>
              <w:left w:type="dxa" w:w="110"/>
              <w:bottom w:type="dxa" w:w="80"/>
              <w:right w:type="dxa" w:w="110"/>
            </w:tcMar>
          </w:tcPr>
          <w:p>
            <w:pPr>
              <w:spacing w:after="0"/>
            </w:pPr>
            <w:r>
              <w:rPr>
                <w:b/>
                <w:bCs/>
                <w:sz w:val="20"/>
                <w:szCs w:val="20"/>
              </w:rPr>
              <w:t xml:space="preserve">Beispiele aus unserem Alltag</w:t>
            </w:r>
          </w:p>
        </w:tc>
      </w:tr>
      <w:tr>
        <w:trPr>
          <w:trHeight w:val="800" w:hRule="atLeast"/>
        </w:trPr>
        <w:tc>
          <w:tcPr>
            <w:tcW w:type="dxa" w:w="1300"/>
            <w:shd w:fill="C6E0B4" w:color="auto" w:val="clear"/>
            <w:tcMar>
              <w:top w:type="dxa" w:w="80"/>
              <w:left w:type="dxa" w:w="110"/>
              <w:bottom w:type="dxa" w:w="80"/>
              <w:right w:type="dxa" w:w="110"/>
            </w:tcMar>
          </w:tcPr>
          <w:p>
            <w:pPr>
              <w:spacing w:after="0"/>
            </w:pPr>
            <w:r>
              <w:rPr>
                <w:b/>
                <w:bCs/>
                <w:sz w:val="20"/>
                <w:szCs w:val="20"/>
              </w:rPr>
              <w:t xml:space="preserve">GRÜN</w:t>
            </w:r>
          </w:p>
        </w:tc>
        <w:tc>
          <w:tcPr>
            <w:tcW w:type="dxa" w:w="4100"/>
            <w:tcMar>
              <w:top w:type="dxa" w:w="80"/>
              <w:left w:type="dxa" w:w="110"/>
              <w:bottom w:type="dxa" w:w="80"/>
              <w:right w:type="dxa" w:w="110"/>
            </w:tcMar>
          </w:tcPr>
          <w:p>
            <w:pPr>
              <w:spacing w:after="0"/>
            </w:pPr>
            <w:r>
              <w:rPr>
                <w:sz w:val="20"/>
                <w:szCs w:val="20"/>
              </w:rPr>
              <w:t xml:space="preserve">Kein Personenbezug, kein fachliches Risiko. Nutzung in freigegebenen Anwendungen ohne weitere Rücksprache.</w:t>
            </w:r>
          </w:p>
        </w:tc>
        <w:tc>
          <w:tcPr>
            <w:tcW w:type="dxa" w:w="3600"/>
            <w:tcMar>
              <w:top w:type="dxa" w:w="80"/>
              <w:left w:type="dxa" w:w="110"/>
              <w:bottom w:type="dxa" w:w="80"/>
              <w:right w:type="dxa" w:w="110"/>
            </w:tcMar>
          </w:tcPr>
          <w:p>
            <w:pPr>
              <w:spacing w:after="0"/>
            </w:pPr>
            <w:r>
              <w:rPr>
                <w:sz w:val="20"/>
                <w:szCs w:val="20"/>
              </w:rPr>
              <w:t xml:space="preserve">Aushang zur Urlaubsvertretung formulieren</w:t>
            </w:r>
          </w:p>
          <w:p>
            <w:pPr>
              <w:spacing w:after="0"/>
            </w:pPr>
            <w:r>
              <w:rPr>
                <w:sz w:val="20"/>
                <w:szCs w:val="20"/>
              </w:rPr>
              <w:t xml:space="preserve">Stellenanzeige entwerfen</w:t>
            </w:r>
          </w:p>
          <w:p>
            <w:pPr>
              <w:spacing w:after="0"/>
            </w:pPr>
            <w:r>
              <w:rPr>
                <w:sz w:val="20"/>
                <w:szCs w:val="20"/>
              </w:rPr>
              <w:t xml:space="preserve">Einen Fachbegriff erklären lassen</w:t>
            </w:r>
          </w:p>
          <w:p>
            <w:pPr>
              <w:spacing w:after="0"/>
            </w:pPr>
            <w:r>
              <w:rPr>
                <w:sz w:val="20"/>
                <w:szCs w:val="20"/>
              </w:rPr>
              <w:t xml:space="preserve">Text in einfache Sprache übertragen</w:t>
            </w:r>
          </w:p>
        </w:tc>
      </w:tr>
      <w:tr>
        <w:trPr>
          <w:trHeight w:val="800" w:hRule="atLeast"/>
        </w:trPr>
        <w:tc>
          <w:tcPr>
            <w:tcW w:type="dxa" w:w="1300"/>
            <w:shd w:fill="FFE699" w:color="auto" w:val="clear"/>
            <w:tcMar>
              <w:top w:type="dxa" w:w="80"/>
              <w:left w:type="dxa" w:w="110"/>
              <w:bottom w:type="dxa" w:w="80"/>
              <w:right w:type="dxa" w:w="110"/>
            </w:tcMar>
          </w:tcPr>
          <w:p>
            <w:pPr>
              <w:spacing w:after="0"/>
            </w:pPr>
            <w:r>
              <w:rPr>
                <w:b/>
                <w:bCs/>
                <w:sz w:val="20"/>
                <w:szCs w:val="20"/>
              </w:rPr>
              <w:t xml:space="preserve">GELB</w:t>
            </w:r>
          </w:p>
        </w:tc>
        <w:tc>
          <w:tcPr>
            <w:tcW w:type="dxa" w:w="4100"/>
            <w:tcMar>
              <w:top w:type="dxa" w:w="80"/>
              <w:left w:type="dxa" w:w="110"/>
              <w:bottom w:type="dxa" w:w="80"/>
              <w:right w:type="dxa" w:w="110"/>
            </w:tcMar>
          </w:tcPr>
          <w:p>
            <w:pPr>
              <w:spacing w:after="0"/>
            </w:pPr>
            <w:r>
              <w:rPr>
                <w:sz w:val="20"/>
                <w:szCs w:val="20"/>
              </w:rPr>
              <w:t xml:space="preserve">Kein Personenbezug, aber fachlich relevant. Nutzung erlaubt, Ergebnis muss von einer fachlich zuständigen Person geprüft werden.</w:t>
            </w:r>
          </w:p>
        </w:tc>
        <w:tc>
          <w:tcPr>
            <w:tcW w:type="dxa" w:w="3600"/>
            <w:tcMar>
              <w:top w:type="dxa" w:w="80"/>
              <w:left w:type="dxa" w:w="110"/>
              <w:bottom w:type="dxa" w:w="80"/>
              <w:right w:type="dxa" w:w="110"/>
            </w:tcMar>
          </w:tcPr>
          <w:p>
            <w:pPr>
              <w:spacing w:after="0"/>
            </w:pPr>
            <w:r>
              <w:rPr>
                <w:sz w:val="20"/>
                <w:szCs w:val="20"/>
              </w:rPr>
              <w:t xml:space="preserve">Entwurf für ein Hygienekonzept</w:t>
            </w:r>
          </w:p>
          <w:p>
            <w:pPr>
              <w:spacing w:after="0"/>
            </w:pPr>
            <w:r>
              <w:rPr>
                <w:sz w:val="20"/>
                <w:szCs w:val="20"/>
              </w:rPr>
              <w:t xml:space="preserve">Musterformulierung für einen Aufklärungsbogen</w:t>
            </w:r>
          </w:p>
          <w:p>
            <w:pPr>
              <w:spacing w:after="0"/>
            </w:pPr>
            <w:r>
              <w:rPr>
                <w:sz w:val="20"/>
                <w:szCs w:val="20"/>
              </w:rPr>
              <w:t xml:space="preserve">Zusammenfassung einer Leitlinie</w:t>
            </w:r>
          </w:p>
          <w:p>
            <w:pPr>
              <w:spacing w:after="0"/>
            </w:pPr>
            <w:r>
              <w:rPr>
                <w:sz w:val="20"/>
                <w:szCs w:val="20"/>
              </w:rPr>
              <w:t xml:space="preserve">Schulungsunterlagen für das Team</w:t>
            </w:r>
          </w:p>
        </w:tc>
      </w:tr>
      <w:tr>
        <w:trPr>
          <w:trHeight w:val="800" w:hRule="atLeast"/>
        </w:trPr>
        <w:tc>
          <w:tcPr>
            <w:tcW w:type="dxa" w:w="1300"/>
            <w:shd w:fill="F4B8A8" w:color="auto" w:val="clear"/>
            <w:tcMar>
              <w:top w:type="dxa" w:w="80"/>
              <w:left w:type="dxa" w:w="110"/>
              <w:bottom w:type="dxa" w:w="80"/>
              <w:right w:type="dxa" w:w="110"/>
            </w:tcMar>
          </w:tcPr>
          <w:p>
            <w:pPr>
              <w:spacing w:after="0"/>
            </w:pPr>
            <w:r>
              <w:rPr>
                <w:b/>
                <w:bCs/>
                <w:sz w:val="20"/>
                <w:szCs w:val="20"/>
              </w:rPr>
              <w:t xml:space="preserve">ROT</w:t>
            </w:r>
          </w:p>
        </w:tc>
        <w:tc>
          <w:tcPr>
            <w:tcW w:type="dxa" w:w="4100"/>
            <w:tcMar>
              <w:top w:type="dxa" w:w="80"/>
              <w:left w:type="dxa" w:w="110"/>
              <w:bottom w:type="dxa" w:w="80"/>
              <w:right w:type="dxa" w:w="110"/>
            </w:tcMar>
          </w:tcPr>
          <w:p>
            <w:pPr>
              <w:spacing w:after="0"/>
            </w:pPr>
            <w:r>
              <w:rPr>
                <w:sz w:val="20"/>
                <w:szCs w:val="20"/>
              </w:rPr>
              <w:t xml:space="preserve">Personenbezug oder Entscheidung über Behandlung. Nicht erlaubt.</w:t>
            </w:r>
          </w:p>
        </w:tc>
        <w:tc>
          <w:tcPr>
            <w:tcW w:type="dxa" w:w="3600"/>
            <w:tcMar>
              <w:top w:type="dxa" w:w="80"/>
              <w:left w:type="dxa" w:w="110"/>
              <w:bottom w:type="dxa" w:w="80"/>
              <w:right w:type="dxa" w:w="110"/>
            </w:tcMar>
          </w:tcPr>
          <w:p>
            <w:pPr>
              <w:spacing w:after="0"/>
            </w:pPr>
            <w:r>
              <w:rPr>
                <w:sz w:val="20"/>
                <w:szCs w:val="20"/>
              </w:rPr>
              <w:t xml:space="preserve">Befund zur Zusammenfassung einfügen</w:t>
            </w:r>
          </w:p>
          <w:p>
            <w:pPr>
              <w:spacing w:after="0"/>
            </w:pPr>
            <w:r>
              <w:rPr>
                <w:sz w:val="20"/>
                <w:szCs w:val="20"/>
              </w:rPr>
              <w:t xml:space="preserve">Arztbrief mit Patientennamen</w:t>
            </w:r>
          </w:p>
          <w:p>
            <w:pPr>
              <w:spacing w:after="0"/>
            </w:pPr>
            <w:r>
              <w:rPr>
                <w:sz w:val="20"/>
                <w:szCs w:val="20"/>
              </w:rPr>
              <w:t xml:space="preserve">Foto einer Wunde hochladen</w:t>
            </w:r>
          </w:p>
          <w:p>
            <w:pPr>
              <w:spacing w:after="0"/>
            </w:pPr>
            <w:r>
              <w:rPr>
                <w:sz w:val="20"/>
                <w:szCs w:val="20"/>
              </w:rPr>
              <w:t xml:space="preserve">Medikationsfrage zu einer konkreten Person</w:t>
            </w:r>
          </w:p>
        </w:tc>
      </w:tr>
    </w:tbl>
    <w:p>
      <w:pPr>
        <w:pStyle w:val="Heading1"/>
      </w:pPr>
      <w:r>
        <w:t xml:space="preserve">Personenbezug entfernen – in dreißig Sekunden</w:t>
      </w:r>
    </w:p>
    <w:p>
      <w:r>
        <w:t xml:space="preserve">Wenn Sie an einem konkreten Fall arbeiten wollen, verändern Sie ihn so, dass niemand ihn wiedererkennt. Nicht nur den Namen weglassen, sondern die Kombination auflösen.</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E8EDF5" w:color="auto" w:val="clear"/>
            <w:tcMar>
              <w:top w:type="dxa" w:w="80"/>
              <w:left w:type="dxa" w:w="110"/>
              <w:bottom w:type="dxa" w:w="80"/>
              <w:right w:type="dxa" w:w="110"/>
            </w:tcMar>
          </w:tcPr>
          <w:p>
            <w:pPr>
              <w:spacing w:after="0"/>
            </w:pPr>
            <w:r>
              <w:rPr>
                <w:b/>
                <w:bCs/>
                <w:sz w:val="20"/>
                <w:szCs w:val="20"/>
              </w:rPr>
              <w:t xml:space="preserve">Nicht so</w:t>
            </w:r>
          </w:p>
        </w:tc>
        <w:tc>
          <w:tcPr>
            <w:tcW w:type="dxa" w:w="4500"/>
            <w:shd w:fill="E8EDF5" w:color="auto" w:val="clear"/>
            <w:tcMar>
              <w:top w:type="dxa" w:w="80"/>
              <w:left w:type="dxa" w:w="110"/>
              <w:bottom w:type="dxa" w:w="80"/>
              <w:right w:type="dxa" w:w="110"/>
            </w:tcMar>
          </w:tcPr>
          <w:p>
            <w:pPr>
              <w:spacing w:after="0"/>
            </w:pPr>
            <w:r>
              <w:rPr>
                <w:b/>
                <w:bCs/>
                <w:sz w:val="20"/>
                <w:szCs w:val="20"/>
              </w:rPr>
              <w:t xml:space="preserve">Sondern so</w:t>
            </w:r>
          </w:p>
        </w:tc>
      </w:tr>
      <w:tr>
        <w:trPr>
          <w:trHeight w:val="500" w:hRule="atLeast"/>
        </w:trPr>
        <w:tc>
          <w:tcPr>
            <w:tcW w:type="dxa" w:w="4500"/>
            <w:tcMar>
              <w:top w:type="dxa" w:w="80"/>
              <w:left w:type="dxa" w:w="110"/>
              <w:bottom w:type="dxa" w:w="80"/>
              <w:right w:type="dxa" w:w="110"/>
            </w:tcMar>
          </w:tcPr>
          <w:p>
            <w:pPr>
              <w:spacing w:after="0"/>
            </w:pPr>
            <w:r>
              <w:rPr>
                <w:sz w:val="20"/>
                <w:szCs w:val="20"/>
              </w:rPr>
              <w:t xml:space="preserve">Frau Sandra Berger, geb. 14.03.1958, wohnhaft in der Lindenstraße, Z. n. Hüft-TEP links am 2. September, jetzt Wundheilungsstörung …</w:t>
            </w:r>
          </w:p>
        </w:tc>
        <w:tc>
          <w:tcPr>
            <w:tcW w:type="dxa" w:w="4500"/>
            <w:tcMar>
              <w:top w:type="dxa" w:w="80"/>
              <w:left w:type="dxa" w:w="110"/>
              <w:bottom w:type="dxa" w:w="80"/>
              <w:right w:type="dxa" w:w="110"/>
            </w:tcMar>
          </w:tcPr>
          <w:p>
            <w:pPr>
              <w:spacing w:after="0"/>
            </w:pPr>
            <w:r>
              <w:rPr>
                <w:sz w:val="20"/>
                <w:szCs w:val="20"/>
              </w:rPr>
              <w:t xml:space="preserve">Patientin, Ende sechzig, Zustand nach Hüftendoprothese vor zehn Tagen, jetzt Wundheilungsstörung …</w:t>
            </w:r>
          </w:p>
        </w:tc>
      </w:tr>
      <w:tr>
        <w:trPr>
          <w:trHeight w:val="500" w:hRule="atLeast"/>
        </w:trPr>
        <w:tc>
          <w:tcPr>
            <w:tcW w:type="dxa" w:w="4500"/>
            <w:tcMar>
              <w:top w:type="dxa" w:w="80"/>
              <w:left w:type="dxa" w:w="110"/>
              <w:bottom w:type="dxa" w:w="80"/>
              <w:right w:type="dxa" w:w="110"/>
            </w:tcMar>
          </w:tcPr>
          <w:p>
            <w:pPr>
              <w:spacing w:after="0"/>
            </w:pPr>
            <w:r>
              <w:rPr>
                <w:sz w:val="20"/>
                <w:szCs w:val="20"/>
              </w:rPr>
              <w:t xml:space="preserve">Unser Pflegedienst betreut Herrn K. in Halle-Neustadt, Demenz, Sturz letzte Woche …</w:t>
            </w:r>
          </w:p>
        </w:tc>
        <w:tc>
          <w:tcPr>
            <w:tcW w:type="dxa" w:w="4500"/>
            <w:tcMar>
              <w:top w:type="dxa" w:w="80"/>
              <w:left w:type="dxa" w:w="110"/>
              <w:bottom w:type="dxa" w:w="80"/>
              <w:right w:type="dxa" w:w="110"/>
            </w:tcMar>
          </w:tcPr>
          <w:p>
            <w:pPr>
              <w:spacing w:after="0"/>
            </w:pPr>
            <w:r>
              <w:rPr>
                <w:sz w:val="20"/>
                <w:szCs w:val="20"/>
              </w:rPr>
              <w:t xml:space="preserve">Pflegebedürftige Person mit fortgeschrittener Demenz, Sturzereignis vor einer Woche …</w:t>
            </w:r>
          </w:p>
        </w:tc>
      </w:tr>
    </w:tbl>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EEF2F8" w:sz="2"/>
              <w:left w:val="single" w:color="2F5496" w:sz="18"/>
              <w:bottom w:val="single" w:color="EEF2F8" w:sz="2"/>
              <w:right w:val="single" w:color="EEF2F8" w:sz="2"/>
            </w:tcBorders>
            <w:shd w:fill="EEF2F8" w:color="auto" w:val="clear"/>
            <w:tcMar>
              <w:top w:type="dxa" w:w="160"/>
              <w:left w:type="dxa" w:w="200"/>
              <w:bottom w:type="dxa" w:w="160"/>
              <w:right w:type="dxa" w:w="200"/>
            </w:tcMar>
          </w:tcPr>
          <w:p>
            <w:pPr>
              <w:spacing w:after="60"/>
            </w:pPr>
            <w:r>
              <w:rPr>
                <w:b/>
                <w:bCs/>
                <w:sz w:val="21"/>
                <w:szCs w:val="21"/>
              </w:rPr>
              <w:t xml:space="preserve">Die Prüffrage</w:t>
            </w:r>
          </w:p>
          <w:p>
            <w:pPr>
              <w:spacing w:after="40"/>
            </w:pPr>
            <w:r>
              <w:rPr>
                <w:sz w:val="20"/>
                <w:szCs w:val="20"/>
              </w:rPr>
              <w:t xml:space="preserve">Könnte eine Kollegin, die unsere Einrichtung kennt, aus diesem Text erraten, um wen es geht? Wenn ja: weiter kürzen oder gar nicht erst eingeben.</w:t>
            </w:r>
          </w:p>
        </w:tc>
      </w:tr>
    </w:tbl>
    <w:p>
      <w:r>
        <w:br w:type="page"/>
      </w:r>
    </w:p>
    <w:p>
      <w:pPr>
        <w:pStyle w:val="Heading1"/>
      </w:pPr>
      <w:r>
        <w:t xml:space="preserve">Ergebnisse prüfen – vier Fragen</w:t>
      </w:r>
    </w:p>
    <w:p>
      <w:pPr>
        <w:pStyle w:val="ListParagraph"/>
        <w:numPr>
          <w:ilvl w:val="0"/>
          <w:numId w:val="2"/>
        </w:numPr>
      </w:pPr>
      <w:r>
        <w:t xml:space="preserve">Steht hier etwas, das ich selbst nicht beurteilen kann? Dann brauche ich eine zuständige Person.</w:t>
      </w:r>
    </w:p>
    <w:p>
      <w:pPr>
        <w:pStyle w:val="ListParagraph"/>
        <w:numPr>
          <w:ilvl w:val="0"/>
          <w:numId w:val="2"/>
        </w:numPr>
      </w:pPr>
      <w:r>
        <w:t xml:space="preserve">Werden Zahlen, Dosierungen, Fristen oder Paragraphen genannt? Dann an der Originalquelle nachsehen, nicht das Modell nachfragen.</w:t>
      </w:r>
    </w:p>
    <w:p>
      <w:pPr>
        <w:pStyle w:val="ListParagraph"/>
        <w:numPr>
          <w:ilvl w:val="0"/>
          <w:numId w:val="2"/>
        </w:numPr>
      </w:pPr>
      <w:r>
        <w:t xml:space="preserve">Klingt der Text sicherer, als die Sache tatsächlich ist? Sprachmodelle formulieren Vermutungen wie Tatsachen.</w:t>
      </w:r>
    </w:p>
    <w:p>
      <w:pPr>
        <w:pStyle w:val="ListParagraph"/>
        <w:numPr>
          <w:ilvl w:val="0"/>
          <w:numId w:val="2"/>
        </w:numPr>
      </w:pPr>
      <w:r>
        <w:t xml:space="preserve">Würde ich diesen Satz unter meinem Namen unterschreiben? Wenn nein, geht er nicht in ein Dokument.</w:t>
      </w:r>
    </w:p>
    <w:p>
      <w:pPr>
        <w:pStyle w:val="Heading1"/>
      </w:pPr>
      <w:r>
        <w:t xml:space="preserve">Wenn doch etwas passiert ist</w:t>
      </w:r>
    </w:p>
    <w:p>
      <w:r>
        <w:t xml:space="preserve">Fehler passieren, besonders am Anfang. Entscheidend ist, was in den nächsten Stunden geschieht – nicht, wer schuld ist.</w:t>
      </w:r>
    </w:p>
    <w:p>
      <w:pPr>
        <w:pStyle w:val="ListParagraph"/>
        <w:numPr>
          <w:ilvl w:val="0"/>
          <w:numId w:val="2"/>
        </w:numPr>
      </w:pPr>
      <w:r>
        <w:t xml:space="preserve">Eingabe beenden, Fenster offen lassen, Bildschirmfoto machen.</w:t>
      </w:r>
    </w:p>
    <w:p>
      <w:pPr>
        <w:pStyle w:val="ListParagraph"/>
        <w:numPr>
          <w:ilvl w:val="0"/>
          <w:numId w:val="2"/>
        </w:numPr>
      </w:pPr>
      <w:r>
        <w:t xml:space="preserve">Noch heute der Ansprechperson oder der Leitung Bescheid geben.</w:t>
      </w:r>
    </w:p>
    <w:p>
      <w:pPr>
        <w:pStyle w:val="ListParagraph"/>
        <w:numPr>
          <w:ilvl w:val="0"/>
          <w:numId w:val="2"/>
        </w:numPr>
      </w:pPr>
      <w:r>
        <w:t xml:space="preserve">Verlauf im Dienst löschen, sofern möglich.</w:t>
      </w:r>
    </w:p>
    <w:p>
      <w:pPr>
        <w:pStyle w:val="ListParagraph"/>
        <w:numPr>
          <w:ilvl w:val="0"/>
          <w:numId w:val="2"/>
        </w:numPr>
      </w:pPr>
      <w:r>
        <w:t xml:space="preserve">Den Rest übernimmt die Leitung. Für eine Meldung an die Aufsichtsbehörde gilt eine Frist von 72 Stunden – deshalb zählt jede Stunde.</w:t>
      </w:r>
    </w:p>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EAF3EC" w:sz="2"/>
              <w:left w:val="single" w:color="3D7A4B" w:sz="18"/>
              <w:bottom w:val="single" w:color="EAF3EC" w:sz="2"/>
              <w:right w:val="single" w:color="EAF3EC" w:sz="2"/>
            </w:tcBorders>
            <w:shd w:fill="EAF3EC" w:color="auto" w:val="clear"/>
            <w:tcMar>
              <w:top w:type="dxa" w:w="160"/>
              <w:left w:type="dxa" w:w="200"/>
              <w:bottom w:type="dxa" w:w="160"/>
              <w:right w:type="dxa" w:w="200"/>
            </w:tcMar>
          </w:tcPr>
          <w:p>
            <w:pPr>
              <w:spacing w:after="60"/>
            </w:pPr>
            <w:r>
              <w:rPr>
                <w:b/>
                <w:bCs/>
                <w:sz w:val="21"/>
                <w:szCs w:val="21"/>
              </w:rPr>
              <w:t xml:space="preserve">Zusage</w:t>
            </w:r>
          </w:p>
          <w:p>
            <w:pPr>
              <w:spacing w:after="40"/>
            </w:pPr>
            <w:r>
              <w:rPr>
                <w:sz w:val="20"/>
                <w:szCs w:val="20"/>
              </w:rPr>
              <w:t xml:space="preserve">Wer einen Fehler selbst meldet, hat nichts zu befürchten. Wer ihn verschweigt, schon.</w:t>
            </w:r>
          </w:p>
        </w:tc>
      </w:tr>
    </w:tbl>
    <w:p>
      <w:pPr>
        <w:pStyle w:val="Heading1"/>
      </w:pPr>
      <w:r>
        <w:t xml:space="preserve">Merksatz</w:t>
      </w:r>
    </w:p>
    <w:p>
      <w:pPr>
        <w:spacing w:after="60"/>
      </w:pPr>
    </w:p>
    <w:p>
      <w:r>
        <w:rPr>
          <w:b/>
          <w:bCs/>
          <w:color w:val="1F3864"/>
          <w:sz w:val="28"/>
          <w:szCs w:val="28"/>
        </w:rPr>
        <w:t xml:space="preserve">Keine Namen. Keine Befunde. Kein ungeprüfter Text in ein Dokument.</w:t>
      </w:r>
    </w:p>
    <w:p>
      <w:pPr>
        <w:spacing w:after="200"/>
      </w:pPr>
    </w:p>
    <w:p>
      <w:pPr>
        <w:spacing w:after="40" w:before="160"/>
      </w:pPr>
      <w:r>
        <w:rPr>
          <w:b/>
          <w:bCs/>
          <w:color w:val="595959"/>
          <w:sz w:val="20"/>
          <w:szCs w:val="20"/>
        </w:rPr>
        <w:t xml:space="preserve">Unsere Ansprechperson für KI-Fragen</w:t>
      </w:r>
    </w:p>
    <w:p>
      <w:pPr>
        <w:pBdr>
          <w:bottom w:val="single" w:color="808080" w:sz="6" w:space="4"/>
        </w:pBdr>
        <w:spacing w:after="160"/>
      </w:pPr>
    </w:p>
    <w:p>
      <w:pPr>
        <w:spacing w:after="40" w:before="160"/>
      </w:pPr>
      <w:r>
        <w:rPr>
          <w:b/>
          <w:bCs/>
          <w:color w:val="595959"/>
          <w:sz w:val="20"/>
          <w:szCs w:val="20"/>
        </w:rPr>
        <w:t xml:space="preserve">Freigegebene Anwendungen bei uns</w:t>
      </w:r>
    </w:p>
    <w:p>
      <w:pPr>
        <w:pBdr>
          <w:bottom w:val="single" w:color="808080" w:sz="6" w:space="4"/>
        </w:pBdr>
        <w:spacing w:after="160"/>
      </w:pPr>
    </w:p>
    <w:p>
      <w:pPr>
        <w:pBdr>
          <w:bottom w:val="single" w:color="808080" w:sz="6" w:space="4"/>
        </w:pBdr>
        <w:spacing w:after="160"/>
      </w:pPr>
    </w:p>
    <w:p>
      <w:pPr>
        <w:spacing w:after="160"/>
      </w:pPr>
    </w:p>
    <w:p>
      <w:r>
        <w:rPr>
          <w:i/>
          <w:iCs/>
          <w:color w:val="7F7F7F"/>
          <w:sz w:val="17"/>
          <w:szCs w:val="17"/>
        </w:rPr>
        <w:t xml:space="preserve">Allgemeine Arbeitshilfe, keine Rechtsberatung im Einzelfall. Rechtsstand September 2026.</w:t>
      </w:r>
    </w:p>
    <w:sectPr>
      <w:head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864"/>
      <w:sz w:val="34"/>
      <w:szCs w:val="34"/>
    </w:rPr>
  </w:style>
  <w:style w:type="paragraph" w:styleId="Heading1">
    <w:name w:val="Heading 1"/>
    <w:basedOn w:val="Normal"/>
    <w:next w:val="Normal"/>
    <w:qFormat/>
    <w:pPr>
      <w:spacing w:after="120" w:before="320"/>
    </w:pPr>
    <w:rPr>
      <w:rFonts w:ascii="Calibri" w:cs="Calibri" w:eastAsia="Calibri" w:hAnsi="Calibri"/>
      <w:b/>
      <w:bCs/>
      <w:color w:val="1F3864"/>
      <w:sz w:val="26"/>
      <w:szCs w:val="26"/>
    </w:rPr>
  </w:style>
  <w:style w:type="paragraph" w:styleId="Heading2">
    <w:name w:val="Heading 2"/>
    <w:basedOn w:val="Normal"/>
    <w:next w:val="Normal"/>
    <w:qFormat/>
    <w:pPr>
      <w:spacing w:after="80" w:before="220"/>
    </w:pPr>
    <w:rPr>
      <w:rFonts w:ascii="Calibri" w:cs="Calibri" w:eastAsia="Calibri" w:hAnsi="Calibri"/>
      <w:b/>
      <w:bCs/>
      <w:color w:val="2F5496"/>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2026-09-13T14:05:02.864Z</dcterms:created>
  <dcterms:modified xsi:type="dcterms:W3CDTF">2026-09-13T14:05:02.864Z</dcterms:modified>
</cp:coreProperties>
</file>

<file path=docProps/custom.xml><?xml version="1.0" encoding="utf-8"?>
<Properties xmlns="http://schemas.openxmlformats.org/officeDocument/2006/custom-properties" xmlns:vt="http://schemas.openxmlformats.org/officeDocument/2006/docPropsVTypes"/>
</file>