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Schulungsleitfaden – 75 Minuten</w:t>
      </w:r>
    </w:p>
    <w:p>
      <w:pPr>
        <w:pBdr>
          <w:bottom w:val="single" w:color="BFBFBF" w:sz="6" w:space="8"/>
        </w:pBdr>
        <w:spacing w:after="240"/>
      </w:pPr>
      <w:r>
        <w:rPr>
          <w:i/>
          <w:iCs/>
          <w:color w:val="595959"/>
          <w:sz w:val="20"/>
          <w:szCs w:val="20"/>
        </w:rPr>
        <w:t xml:space="preserve">Internes Arbeitspapier für die durchführende Person – nicht an Teilnehmende ausgeben</w:t>
      </w:r>
    </w:p>
    <w:p>
      <w:pPr>
        <w:pStyle w:val="Heading1"/>
      </w:pPr>
      <w:r>
        <w:t xml:space="preserve">Vor dem Termin</w:t>
      </w:r>
    </w:p>
    <w:p>
      <w:pPr>
        <w:pStyle w:val="ListParagraph"/>
        <w:numPr>
          <w:ilvl w:val="0"/>
          <w:numId w:val="2"/>
        </w:numPr>
      </w:pPr>
      <w:r>
        <w:t xml:space="preserve">Zwei Fragen vorab an die Leitung: Welche Software nutzen Sie bereits, und gibt es einen Vorfall, von dem Sie wissen? Die Antworten liefern die Beispiele für den Termin.</w:t>
      </w:r>
    </w:p>
    <w:p>
      <w:pPr>
        <w:pStyle w:val="ListParagraph"/>
        <w:numPr>
          <w:ilvl w:val="0"/>
          <w:numId w:val="2"/>
        </w:numPr>
      </w:pPr>
      <w:r>
        <w:t xml:space="preserve">Teilnehmerzahl und Räumlichkeit klären. Über zwölf Personen wird der Übungsteil zäh.</w:t>
      </w:r>
    </w:p>
    <w:p>
      <w:pPr>
        <w:pStyle w:val="ListParagraph"/>
        <w:numPr>
          <w:ilvl w:val="0"/>
          <w:numId w:val="2"/>
        </w:numPr>
      </w:pPr>
      <w:r>
        <w:t xml:space="preserve">Handout ausgedruckt mitbringen, Teilnahmeliste vorbereitet, Richtlinienvorlage auf dem Rechner.</w:t>
      </w:r>
    </w:p>
    <w:p>
      <w:pPr>
        <w:pStyle w:val="ListParagraph"/>
        <w:numPr>
          <w:ilvl w:val="0"/>
          <w:numId w:val="2"/>
        </w:numPr>
      </w:pPr>
      <w:r>
        <w:t xml:space="preserve">Keine Folienschlacht. Vier bis sechs Folien reichen, der Rest läuft über Beispiele und Gespräch.</w:t>
      </w:r>
    </w:p>
    <w:p>
      <w:pPr>
        <w:pStyle w:val="Heading1"/>
      </w:pPr>
      <w:r>
        <w:t xml:space="preserve">Ablauf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5800"/>
      </w:tblGrid>
      <w:tr>
        <w:trPr>
          <w:tblHeader/>
        </w:trPr>
        <w:tc>
          <w:tcPr>
            <w:tcW w:type="dxa" w:w="900"/>
            <w:shd w:fill="E8ED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2300"/>
            <w:shd w:fill="E8ED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Baustein</w:t>
            </w:r>
          </w:p>
        </w:tc>
        <w:tc>
          <w:tcPr>
            <w:tcW w:type="dxa" w:w="5800"/>
            <w:shd w:fill="E8ED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Inhalt und Hinweise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0–10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Einstieg über den Alltag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Nicht mit dem Gesetz beginnen. Frage in die Runde: Wer hat in den letzten vier Wochen ChatGPT oder etwas Ähnliches beruflich genutzt? Hände zählen lassen, nichts kommentieren. Das Ergebnis ist der Aufhänger für alles Weitere.</w:t>
            </w:r>
          </w:p>
        </w:tc>
      </w:tr>
      <w:tr>
        <w:trPr>
          <w:trHeight w:val="500" w:hRule="atLeast"/>
        </w:trPr>
        <w:tc>
          <w:tcPr>
            <w:tcW w:type="dxa" w:w="9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10–20</w:t>
            </w:r>
          </w:p>
        </w:tc>
        <w:tc>
          <w:tcPr>
            <w:tcW w:type="dxa" w:w="23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Warum das rechtlich zählt</w:t>
            </w:r>
          </w:p>
        </w:tc>
        <w:tc>
          <w:tcPr>
            <w:tcW w:type="dxa" w:w="58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Betreiberbegriff, Art. 4 KI-VO in der Fassung von 2026, Schweigepflicht, DSGVO. Kurz halten. Ehrlich sagen, dass Art. 4 selbst nicht bußgeldbewehrt ist – das schafft Glaubwürdigkeit für den Rest.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20–35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Wie Sprachmodelle funktionieren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Wahrscheinlichster nächster Text, nicht Wahrheit. Live-Demonstration: nach einer erfundenen Leitlinie oder einem nicht existierenden Paragraphen fragen und die Antwort vorlesen. Dieser Moment überzeugt mehr als jede Folie.</w:t>
            </w:r>
          </w:p>
        </w:tc>
      </w:tr>
      <w:tr>
        <w:trPr>
          <w:trHeight w:val="500" w:hRule="atLeast"/>
        </w:trPr>
        <w:tc>
          <w:tcPr>
            <w:tcW w:type="dxa" w:w="9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35–50</w:t>
            </w:r>
          </w:p>
        </w:tc>
        <w:tc>
          <w:tcPr>
            <w:tcW w:type="dxa" w:w="23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Übung Ampel</w:t>
            </w:r>
          </w:p>
        </w:tc>
        <w:tc>
          <w:tcPr>
            <w:tcW w:type="dxa" w:w="58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Acht bis zehn Fallkarten aus dem echten Alltag der Einrichtung, in Zweiergruppen einsortieren, dann gemeinsam auflösen. Die Streitfälle sind der eigentliche Lerngewinn – Zeit dafür lassen.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50–60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Personenbezug entfernen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Ein realer, anonymisierter Fall wird gemeinsam am Beamer umformuliert. Die Gruppe diktiert, Sie schreiben. Zeigt praktisch, wie viel wegfallen muss.</w:t>
            </w:r>
          </w:p>
        </w:tc>
      </w:tr>
      <w:tr>
        <w:trPr>
          <w:trHeight w:val="500" w:hRule="atLeast"/>
        </w:trPr>
        <w:tc>
          <w:tcPr>
            <w:tcW w:type="dxa" w:w="9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60–70</w:t>
            </w:r>
          </w:p>
        </w:tc>
        <w:tc>
          <w:tcPr>
            <w:tcW w:type="dxa" w:w="23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Richtlinie und Meldeweg</w:t>
            </w:r>
          </w:p>
        </w:tc>
        <w:tc>
          <w:tcPr>
            <w:tcW w:type="dxa" w:w="58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Die Vorlage gemeinsam öffnen und die Liste der freigegebenen Anwendungen live ausfüllen. Damit verlässt die Einrichtung den Termin mit einem fertigen Dokument statt mit einer Hausaufgabe.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70–75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Abschluss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Merksatz, Ansprechperson benennen, Teilnahmeliste unterschreiben lassen, Auffrischungstermin für das nächste Jahr ansprechen.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Häufige Einwände und gute Antworten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E8ED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Einwand</w:t>
            </w:r>
          </w:p>
        </w:tc>
        <w:tc>
          <w:tcPr>
            <w:tcW w:type="dxa" w:w="5600"/>
            <w:shd w:fill="E8ED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Antwort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„Wir nutzen doch gar keine KI.“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Doch – in der Terminsoftware, im Diktiersystem, im Mailprogramm. Der Betreiberbegriff knüpft an die Nutzung an, nicht an die Entwicklung. Genau deshalb lohnt sich das Verzeichnis.</w:t>
            </w:r>
          </w:p>
        </w:tc>
      </w:tr>
      <w:tr>
        <w:trPr>
          <w:trHeight w:val="500" w:hRule="atLeast"/>
        </w:trPr>
        <w:tc>
          <w:tcPr>
            <w:tcW w:type="dxa" w:w="34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„Dafür haben wir keine Zeit.“</w:t>
            </w:r>
          </w:p>
        </w:tc>
        <w:tc>
          <w:tcPr>
            <w:tcW w:type="dxa" w:w="56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Der Termin dauert 75 Minuten im Jahr. Ein einziger Vorfall mit Patientendaten kostet deutlich mehr – an Aufarbeitung, an Meldepflichten, an Vertrauen.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„Droht uns denn ein Bußgeld?“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Für die Kompetenzpflicht selbst nicht, das sage ich offen. Relevant wird es über die Datenschutzaufsicht, über die Schweigepflicht und über die zivilrechtliche Sorgfaltspflicht, wenn tatsächlich etwas passiert.</w:t>
            </w:r>
          </w:p>
        </w:tc>
      </w:tr>
      <w:tr>
        <w:trPr>
          <w:trHeight w:val="500" w:hRule="atLeast"/>
        </w:trPr>
        <w:tc>
          <w:tcPr>
            <w:tcW w:type="dxa" w:w="34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„Unsere Jüngeren können das doch.“</w:t>
            </w:r>
          </w:p>
        </w:tc>
        <w:tc>
          <w:tcPr>
            <w:tcW w:type="dxa" w:w="56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Bedienen können sie es. Die Frage ist nicht die Bedienung, sondern die Einordnung: Was darf hinein, was muss geprüft werden, wer haftet.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„Dann verbieten wir es einfach.“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Verbote ohne Alternative verlagern die Nutzung auf private Geräte, wo Sie keinerlei Einblick mehr haben. Besser ein enger, aber benutzbarer Rahmen.</w:t>
            </w:r>
          </w:p>
        </w:tc>
      </w:tr>
    </w:tbl>
    <w:p>
      <w:pPr>
        <w:pStyle w:val="Heading1"/>
      </w:pPr>
      <w:r>
        <w:t xml:space="preserve">Fallkarten – Rohmaterial</w:t>
      </w:r>
    </w:p>
    <w:p>
      <w:r>
        <w:rPr>
          <w:i/>
          <w:iCs/>
          <w:sz w:val="20"/>
          <w:szCs w:val="20"/>
        </w:rPr>
        <w:t xml:space="preserve">Vor jedem Termin an die Einrichtung anpassen. Die Lösung steht jeweils in Klammern.</w:t>
      </w:r>
    </w:p>
    <w:p>
      <w:pPr>
        <w:pStyle w:val="ListParagraph"/>
        <w:numPr>
          <w:ilvl w:val="0"/>
          <w:numId w:val="2"/>
        </w:numPr>
      </w:pPr>
      <w:r>
        <w:t xml:space="preserve">Entlassbrief für die Hausärztin sprachlich glätten, Text ist eingefügt. (Rot)</w:t>
      </w:r>
    </w:p>
    <w:p>
      <w:pPr>
        <w:pStyle w:val="ListParagraph"/>
        <w:numPr>
          <w:ilvl w:val="0"/>
          <w:numId w:val="2"/>
        </w:numPr>
      </w:pPr>
      <w:r>
        <w:t xml:space="preserve">Dienstplan für den Feiertagszeitraum entwerfen lassen. (Grün)</w:t>
      </w:r>
    </w:p>
    <w:p>
      <w:pPr>
        <w:pStyle w:val="ListParagraph"/>
        <w:numPr>
          <w:ilvl w:val="0"/>
          <w:numId w:val="2"/>
        </w:numPr>
      </w:pPr>
      <w:r>
        <w:t xml:space="preserve">Eine Patientin fragt auf Türkisch nach dem Termin, Übersetzung der Antwort. (Grün, solange keine Diagnose genannt wird)</w:t>
      </w:r>
    </w:p>
    <w:p>
      <w:pPr>
        <w:pStyle w:val="ListParagraph"/>
        <w:numPr>
          <w:ilvl w:val="0"/>
          <w:numId w:val="2"/>
        </w:numPr>
      </w:pPr>
      <w:r>
        <w:t xml:space="preserve">Wundfoto hochladen und nach der Einschätzung fragen. (Rot)</w:t>
      </w:r>
    </w:p>
    <w:p>
      <w:pPr>
        <w:pStyle w:val="ListParagraph"/>
        <w:numPr>
          <w:ilvl w:val="0"/>
          <w:numId w:val="2"/>
        </w:numPr>
      </w:pPr>
      <w:r>
        <w:t xml:space="preserve">Aktuelle Leitlinienempfehlung zur Antikoagulation zusammenfassen lassen. (Gelb, Prüfung an der Quelle zwingend)</w:t>
      </w:r>
    </w:p>
    <w:p>
      <w:pPr>
        <w:pStyle w:val="ListParagraph"/>
        <w:numPr>
          <w:ilvl w:val="0"/>
          <w:numId w:val="2"/>
        </w:numPr>
      </w:pPr>
      <w:r>
        <w:t xml:space="preserve">Beschwerdebrief einer Angehörigen, Antwortentwurf, Brief ist eingefügt. (Rot)</w:t>
      </w:r>
    </w:p>
    <w:p>
      <w:pPr>
        <w:pStyle w:val="ListParagraph"/>
        <w:numPr>
          <w:ilvl w:val="0"/>
          <w:numId w:val="2"/>
        </w:numPr>
      </w:pPr>
      <w:r>
        <w:t xml:space="preserve">Formulierungshilfe für ein schwieriges Angehörigengespräch, ohne Fallangaben. (Grün)</w:t>
      </w:r>
    </w:p>
    <w:p>
      <w:pPr>
        <w:pStyle w:val="ListParagraph"/>
        <w:numPr>
          <w:ilvl w:val="0"/>
          <w:numId w:val="2"/>
        </w:numPr>
      </w:pPr>
      <w:r>
        <w:t xml:space="preserve">Abrechnungsziffer für eine konkrete Behandlung erfragen. (Gelb, hohe Fehlerquote, immer gegenprüfen)</w:t>
      </w:r>
    </w:p>
    <w:p>
      <w:pPr>
        <w:pStyle w:val="ListParagraph"/>
        <w:numPr>
          <w:ilvl w:val="0"/>
          <w:numId w:val="2"/>
        </w:numPr>
      </w:pPr>
      <w:r>
        <w:t xml:space="preserve">Pflegebericht diktieren mit einem Dienst, der nicht auf der Freigabeliste steht. (Rot)</w:t>
      </w:r>
    </w:p>
    <w:p>
      <w:pPr>
        <w:pStyle w:val="ListParagraph"/>
        <w:numPr>
          <w:ilvl w:val="0"/>
          <w:numId w:val="2"/>
        </w:numPr>
      </w:pPr>
      <w:r>
        <w:t xml:space="preserve">Aushang zur neuen Telefonzeit formulieren. (Grün)</w:t>
      </w:r>
    </w:p>
    <w:p>
      <w:pPr>
        <w:pStyle w:val="Heading1"/>
      </w:pPr>
      <w:r>
        <w:t xml:space="preserve">Nach dem Termin</w:t>
      </w:r>
    </w:p>
    <w:p>
      <w:pPr>
        <w:pStyle w:val="ListParagraph"/>
        <w:numPr>
          <w:ilvl w:val="0"/>
          <w:numId w:val="3"/>
        </w:numPr>
      </w:pPr>
      <w:r>
        <w:t xml:space="preserve">Teilnahmeliste einscannen und der Leitung zusenden, Original bleibt in der Einrichtung.</w:t>
      </w:r>
    </w:p>
    <w:p>
      <w:pPr>
        <w:pStyle w:val="ListParagraph"/>
        <w:numPr>
          <w:ilvl w:val="0"/>
          <w:numId w:val="3"/>
        </w:numPr>
      </w:pPr>
      <w:r>
        <w:t xml:space="preserve">Ausgefüllte Richtlinie und Verzeichnis als bearbeitbare Datei nachreichen.</w:t>
      </w:r>
    </w:p>
    <w:p>
      <w:pPr>
        <w:pStyle w:val="ListParagraph"/>
        <w:numPr>
          <w:ilvl w:val="0"/>
          <w:numId w:val="3"/>
        </w:numPr>
      </w:pPr>
      <w:r>
        <w:t xml:space="preserve">Nach vier Wochen kurz nachfassen: Was ist seither aufgefallen? Das ist der natürliche Anlass für den Folgeauftrag.</w:t>
      </w:r>
    </w:p>
    <w:p>
      <w:pPr>
        <w:pStyle w:val="ListParagraph"/>
        <w:numPr>
          <w:ilvl w:val="0"/>
          <w:numId w:val="3"/>
        </w:numPr>
      </w:pPr>
      <w:r>
        <w:t xml:space="preserve">Auffrischungstermin für das Folgejahr terminieren, solange der Eindruck frisch ist.</w:t>
      </w:r>
    </w:p>
    <w:p>
      <w:pPr>
        <w:spacing w:after="240"/>
      </w:pPr>
    </w:p>
    <w:p>
      <w:r>
        <w:rPr>
          <w:i/>
          <w:iCs/>
          <w:color w:val="7F7F7F"/>
          <w:sz w:val="17"/>
          <w:szCs w:val="17"/>
        </w:rPr>
        <w:t xml:space="preserve">Internes Arbeitspapier. Rechtsstand September 2026.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</w:pPr>
    <w:rPr>
      <w:rFonts w:ascii="Calibri" w:cs="Calibri" w:eastAsia="Calibri" w:hAnsi="Calibri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2026-09-13T14:05:02.872Z</dcterms:created>
  <dcterms:modified xsi:type="dcterms:W3CDTF">2026-09-13T14:05:02.872Z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