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|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 holder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TYPES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loads of contactless payments for example Credit cards, debit cards, key fobs, smart cards or other devices including smartphones and some other mobile devices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120"/>
          <w:szCs w:val="120"/>
        </w:rPr>
      </w:pPr>
      <w:r w:rsidDel="00000000" w:rsidR="00000000" w:rsidRPr="00000000">
        <w:rPr>
          <w:color w:val="ff0000"/>
          <w:sz w:val="120"/>
          <w:szCs w:val="120"/>
          <w:rtl w:val="0"/>
        </w:rPr>
        <w:t xml:space="preserve">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 were one of the first companies to use contactless payments with their speedpass cards in 1997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 used the speed pass at their gas stations for a quick and easy way to pay.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speedpass has a dedicated transponder identification and a security code making it more secure than a debit card.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Because no signature or PIN verification is typically required, contactless purchases are typically limited to a set amount per transaction, known as a "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floor limit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Floor_Limit" TargetMode="External"/></Relationships>
</file>