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ARTICLES OF ASSOCIATION</w:t>
      </w:r>
    </w:p>
    <w:p>
      <w:pPr>
        <w:pStyle w:val="Heading1"/>
      </w:pPr>
      <w:r>
        <w:t>OF</w:t>
      </w:r>
    </w:p>
    <w:p>
      <w:pPr>
        <w:pStyle w:val="Heading1"/>
      </w:pPr>
      <w:r>
        <w:t>TECHCORP ADGM LIMITED</w:t>
      </w:r>
    </w:p>
    <w:p/>
    <w:p>
      <w:pPr>
        <w:pStyle w:val="Heading1"/>
      </w:pPr>
      <w:r>
        <w:t>1. INTERPRETATION</w:t>
      </w:r>
    </w:p>
    <w:p>
      <w:r>
        <w:t>In these Articles:</w:t>
      </w:r>
      <w:r>
        <w:br/>
        <w:t>"Act" means the Companies Regulations 2020 of ADGM;</w:t>
      </w:r>
      <w:r>
        <w:br/>
        <w:t>"Company" means TechCorp ADGM Limited;</w:t>
      </w:r>
      <w:r>
        <w:br/>
        <w:t>"Directors" means the directors of the Company;</w:t>
      </w:r>
    </w:p>
    <w:p>
      <w:pPr>
        <w:pStyle w:val="Heading1"/>
      </w:pPr>
      <w:r>
        <w:t>2. SHARE CAPITAL</w:t>
      </w:r>
    </w:p>
    <w:p>
      <w:r>
        <w:t>The Company's share capital consists of ordinary shares of AED 1 each.</w:t>
      </w:r>
    </w:p>
    <w:p>
      <w:r>
        <w:t>The Company may issue shares with or without voting rights.</w:t>
      </w:r>
    </w:p>
    <w:p>
      <w:pPr>
        <w:pStyle w:val="Heading1"/>
      </w:pPr>
      <w:r>
        <w:t>3. DIRECTORS' POWERS</w:t>
      </w:r>
    </w:p>
    <w:p>
      <w:r>
        <w:t>Subject to the provisions of the Act and these Articles, the business of the Company shall be managed by the Directors.</w:t>
      </w:r>
    </w:p>
    <w:p>
      <w:pPr>
        <w:pStyle w:val="Heading1"/>
      </w:pPr>
      <w:r>
        <w:t>4. REGISTERED OFFICE</w:t>
      </w:r>
    </w:p>
    <w:p>
      <w:r>
        <w:t>The registered office of the Company shall be situated in Abu Dhabi Global Market.</w:t>
      </w:r>
    </w:p>
    <w:p>
      <w:pPr>
        <w:pStyle w:val="Heading1"/>
      </w:pPr>
      <w:r>
        <w:t>5. GENERAL MEETINGS</w:t>
      </w:r>
    </w:p>
    <w:p>
      <w:r>
        <w:t>Annual general meetings shall be held in accordance with the Act.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