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03209" w14:textId="77777777" w:rsidR="00CF5BF6" w:rsidRPr="00CF5BF6" w:rsidRDefault="00CF5BF6" w:rsidP="00CF5BF6">
      <w:pPr>
        <w:rPr>
          <w:b/>
          <w:bCs/>
        </w:rPr>
      </w:pPr>
      <w:r w:rsidRPr="00CF5BF6">
        <w:rPr>
          <w:b/>
          <w:bCs/>
        </w:rPr>
        <w:t>Company Registration Submission</w:t>
      </w:r>
    </w:p>
    <w:p w14:paraId="0AEC68A7" w14:textId="77777777" w:rsidR="00CF5BF6" w:rsidRPr="00CF5BF6" w:rsidRDefault="00CF5BF6" w:rsidP="00CF5BF6">
      <w:pPr>
        <w:rPr>
          <w:b/>
          <w:bCs/>
        </w:rPr>
      </w:pPr>
      <w:r w:rsidRPr="00CF5BF6">
        <w:rPr>
          <w:b/>
          <w:bCs/>
        </w:rPr>
        <w:t>This document is submitted for the registration of a company branch under ADGM jurisdiction.</w:t>
      </w:r>
    </w:p>
    <w:p w14:paraId="2A7778EE" w14:textId="77777777" w:rsidR="00CF5BF6" w:rsidRPr="00CF5BF6" w:rsidRDefault="00CF5BF6" w:rsidP="00CF5BF6">
      <w:pPr>
        <w:rPr>
          <w:b/>
          <w:bCs/>
        </w:rPr>
      </w:pPr>
      <w:r w:rsidRPr="00CF5BF6">
        <w:rPr>
          <w:b/>
          <w:bCs/>
        </w:rPr>
        <w:pict w14:anchorId="267EDE42">
          <v:rect id="_x0000_i1085" style="width:0;height:.75pt" o:hralign="center" o:hrstd="t" o:hr="t" fillcolor="#a0a0a0" stroked="f"/>
        </w:pict>
      </w:r>
    </w:p>
    <w:p w14:paraId="44670705" w14:textId="77777777" w:rsidR="00CF5BF6" w:rsidRPr="00CF5BF6" w:rsidRDefault="00CF5BF6" w:rsidP="00CF5BF6">
      <w:pPr>
        <w:rPr>
          <w:b/>
          <w:bCs/>
        </w:rPr>
      </w:pPr>
      <w:r w:rsidRPr="00CF5BF6">
        <w:rPr>
          <w:b/>
          <w:bCs/>
        </w:rPr>
        <w:t>Provided Documents Include:</w:t>
      </w:r>
    </w:p>
    <w:p w14:paraId="3F852C60" w14:textId="77777777" w:rsidR="00CF5BF6" w:rsidRPr="00CF5BF6" w:rsidRDefault="00CF5BF6" w:rsidP="00CF5BF6">
      <w:pPr>
        <w:numPr>
          <w:ilvl w:val="0"/>
          <w:numId w:val="6"/>
        </w:numPr>
        <w:rPr>
          <w:b/>
          <w:bCs/>
        </w:rPr>
      </w:pPr>
      <w:r w:rsidRPr="00CF5BF6">
        <w:rPr>
          <w:b/>
          <w:bCs/>
        </w:rPr>
        <w:t>In-</w:t>
      </w:r>
      <w:proofErr w:type="gramStart"/>
      <w:r w:rsidRPr="00CF5BF6">
        <w:rPr>
          <w:b/>
          <w:bCs/>
        </w:rPr>
        <w:t>principle</w:t>
      </w:r>
      <w:proofErr w:type="gramEnd"/>
      <w:r w:rsidRPr="00CF5BF6">
        <w:rPr>
          <w:b/>
          <w:bCs/>
        </w:rPr>
        <w:t xml:space="preserve"> approval from ADGM Financial Services Regulatory Authority (dated 2024-06-01)</w:t>
      </w:r>
    </w:p>
    <w:p w14:paraId="73042561" w14:textId="77777777" w:rsidR="00CF5BF6" w:rsidRPr="00CF5BF6" w:rsidRDefault="00CF5BF6" w:rsidP="00CF5BF6">
      <w:pPr>
        <w:numPr>
          <w:ilvl w:val="0"/>
          <w:numId w:val="6"/>
        </w:numPr>
        <w:rPr>
          <w:b/>
          <w:bCs/>
        </w:rPr>
      </w:pPr>
      <w:r w:rsidRPr="00CF5BF6">
        <w:rPr>
          <w:b/>
          <w:bCs/>
        </w:rPr>
        <w:t>Business Plan outlining company activities and markets</w:t>
      </w:r>
    </w:p>
    <w:p w14:paraId="011AF786" w14:textId="77777777" w:rsidR="00CF5BF6" w:rsidRPr="00CF5BF6" w:rsidRDefault="00CF5BF6" w:rsidP="00CF5BF6">
      <w:pPr>
        <w:numPr>
          <w:ilvl w:val="0"/>
          <w:numId w:val="6"/>
        </w:numPr>
        <w:rPr>
          <w:b/>
          <w:bCs/>
        </w:rPr>
      </w:pPr>
      <w:r w:rsidRPr="00CF5BF6">
        <w:rPr>
          <w:b/>
          <w:bCs/>
        </w:rPr>
        <w:t>Ownership structure chart covering beneficial owners</w:t>
      </w:r>
    </w:p>
    <w:p w14:paraId="029677C5" w14:textId="77777777" w:rsidR="00CF5BF6" w:rsidRPr="00CF5BF6" w:rsidRDefault="00CF5BF6" w:rsidP="00CF5BF6">
      <w:pPr>
        <w:rPr>
          <w:b/>
          <w:bCs/>
        </w:rPr>
      </w:pPr>
      <w:r w:rsidRPr="00CF5BF6">
        <w:rPr>
          <w:b/>
          <w:bCs/>
        </w:rPr>
        <w:pict w14:anchorId="6C215068">
          <v:rect id="_x0000_i1086" style="width:0;height:.75pt" o:hralign="center" o:hrstd="t" o:hr="t" fillcolor="#a0a0a0" stroked="f"/>
        </w:pict>
      </w:r>
    </w:p>
    <w:p w14:paraId="617D7ADC" w14:textId="77777777" w:rsidR="00CF5BF6" w:rsidRPr="00CF5BF6" w:rsidRDefault="00CF5BF6" w:rsidP="00CF5BF6">
      <w:pPr>
        <w:rPr>
          <w:b/>
          <w:bCs/>
        </w:rPr>
      </w:pPr>
      <w:r w:rsidRPr="00CF5BF6">
        <w:rPr>
          <w:b/>
          <w:bCs/>
        </w:rPr>
        <w:t>Important Notes and Clauses:</w:t>
      </w:r>
    </w:p>
    <w:p w14:paraId="25DF3B66" w14:textId="77777777" w:rsidR="00CF5BF6" w:rsidRPr="00CF5BF6" w:rsidRDefault="00CF5BF6" w:rsidP="00CF5BF6">
      <w:pPr>
        <w:numPr>
          <w:ilvl w:val="0"/>
          <w:numId w:val="7"/>
        </w:numPr>
        <w:rPr>
          <w:b/>
          <w:bCs/>
        </w:rPr>
      </w:pPr>
      <w:r w:rsidRPr="00CF5BF6">
        <w:rPr>
          <w:b/>
          <w:bCs/>
        </w:rPr>
        <w:t>The company agrees to be governed by the laws of the UAE Federal Courts rather than ADGM regulations.</w:t>
      </w:r>
    </w:p>
    <w:p w14:paraId="7FF691BE" w14:textId="77777777" w:rsidR="00CF5BF6" w:rsidRPr="00CF5BF6" w:rsidRDefault="00CF5BF6" w:rsidP="00CF5BF6">
      <w:pPr>
        <w:numPr>
          <w:ilvl w:val="0"/>
          <w:numId w:val="7"/>
        </w:numPr>
        <w:rPr>
          <w:b/>
          <w:bCs/>
        </w:rPr>
      </w:pPr>
      <w:r w:rsidRPr="00CF5BF6">
        <w:rPr>
          <w:b/>
          <w:bCs/>
        </w:rPr>
        <w:t>The memorandum of association includes ambiguous language such as:</w:t>
      </w:r>
      <w:r w:rsidRPr="00CF5BF6">
        <w:rPr>
          <w:b/>
          <w:bCs/>
        </w:rPr>
        <w:br/>
      </w:r>
      <w:r w:rsidRPr="00CF5BF6">
        <w:rPr>
          <w:b/>
          <w:bCs/>
          <w:i/>
          <w:iCs/>
        </w:rPr>
        <w:t>“The company may, at its discretion, engage in any activities it deems fit.”</w:t>
      </w:r>
    </w:p>
    <w:p w14:paraId="31421020" w14:textId="77777777" w:rsidR="00CF5BF6" w:rsidRPr="00CF5BF6" w:rsidRDefault="00CF5BF6" w:rsidP="00CF5BF6">
      <w:pPr>
        <w:numPr>
          <w:ilvl w:val="0"/>
          <w:numId w:val="7"/>
        </w:numPr>
        <w:rPr>
          <w:b/>
          <w:bCs/>
        </w:rPr>
      </w:pPr>
      <w:r w:rsidRPr="00CF5BF6">
        <w:rPr>
          <w:b/>
          <w:bCs/>
          <w:highlight w:val="yellow"/>
        </w:rPr>
        <w:t>The signatory section is incomplete — no designated Authorized Signatory with contact details or signature is present.</w:t>
      </w:r>
    </w:p>
    <w:p/>
    <w:p w14:paraId="4E7156E5" w14:textId="77777777" w:rsidR="00CF5BF6" w:rsidRPr="00CF5BF6" w:rsidRDefault="00CF5BF6" w:rsidP="00CF5BF6">
      <w:pPr>
        <w:numPr>
          <w:ilvl w:val="0"/>
          <w:numId w:val="7"/>
        </w:numPr>
        <w:rPr>
          <w:b/>
          <w:bCs/>
        </w:rPr>
      </w:pPr>
      <w:r w:rsidRPr="00CF5BF6">
        <w:rPr>
          <w:b/>
          <w:bCs/>
          <w:highlight w:val="yellow"/>
        </w:rPr>
        <w:t>The document formatting does not follow the ADGM template for resolutions and certifications.</w:t>
      </w:r>
    </w:p>
    <w:p/>
    <w:p w14:paraId="6D1F5CAA" w14:textId="77777777" w:rsidR="00CF5BF6" w:rsidRPr="00CF5BF6" w:rsidRDefault="00CF5BF6" w:rsidP="00CF5BF6">
      <w:pPr>
        <w:numPr>
          <w:ilvl w:val="0"/>
          <w:numId w:val="7"/>
        </w:numPr>
        <w:rPr>
          <w:b/>
          <w:bCs/>
        </w:rPr>
      </w:pPr>
      <w:r w:rsidRPr="00CF5BF6">
        <w:rPr>
          <w:b/>
          <w:bCs/>
          <w:highlight w:val="yellow"/>
        </w:rPr>
        <w:t>Several crucial clauses are missing, including those related to Anti-Money Laundering (AML) compliance and data protection responsibilities.</w:t>
      </w:r>
    </w:p>
    <w:p/>
    <w:p w14:paraId="6732DEEA" w14:textId="77777777" w:rsidR="00CF5BF6" w:rsidRPr="00CF5BF6" w:rsidRDefault="00CF5BF6" w:rsidP="00CF5BF6">
      <w:pPr>
        <w:rPr>
          <w:b/>
          <w:bCs/>
        </w:rPr>
      </w:pPr>
      <w:r w:rsidRPr="00CF5BF6">
        <w:rPr>
          <w:b/>
          <w:bCs/>
        </w:rPr>
        <w:pict w14:anchorId="55169C18">
          <v:rect id="_x0000_i1087" style="width:0;height:.75pt" o:hralign="center" o:hrstd="t" o:hr="t" fillcolor="#a0a0a0" stroked="f"/>
        </w:pict>
      </w:r>
    </w:p>
    <w:p w14:paraId="259EAC46" w14:textId="77777777" w:rsidR="00CF5BF6" w:rsidRPr="00CF5BF6" w:rsidRDefault="00CF5BF6" w:rsidP="00CF5BF6">
      <w:pPr>
        <w:rPr>
          <w:b/>
          <w:bCs/>
        </w:rPr>
      </w:pPr>
      <w:r w:rsidRPr="00CF5BF6">
        <w:rPr>
          <w:b/>
          <w:bCs/>
        </w:rPr>
        <w:t>Resolution and Approvals:</w:t>
      </w:r>
    </w:p>
    <w:p w14:paraId="5343B72B" w14:textId="77777777" w:rsidR="00CF5BF6" w:rsidRPr="00CF5BF6" w:rsidRDefault="00CF5BF6" w:rsidP="00CF5BF6">
      <w:pPr>
        <w:numPr>
          <w:ilvl w:val="0"/>
          <w:numId w:val="8"/>
        </w:numPr>
        <w:rPr>
          <w:b/>
          <w:bCs/>
        </w:rPr>
      </w:pPr>
      <w:r w:rsidRPr="00CF5BF6">
        <w:rPr>
          <w:b/>
          <w:bCs/>
          <w:highlight w:val="yellow"/>
        </w:rPr>
        <w:t>The resolution document lacks a proper date and has no formal signature section or witness attestation.</w:t>
      </w:r>
    </w:p>
    <w:p/>
    <w:p w14:paraId="67D6E03C" w14:textId="77777777" w:rsidR="00CF5BF6" w:rsidRPr="00CF5BF6" w:rsidRDefault="00CF5BF6" w:rsidP="00CF5BF6">
      <w:pPr>
        <w:numPr>
          <w:ilvl w:val="0"/>
          <w:numId w:val="8"/>
        </w:numPr>
        <w:rPr>
          <w:b/>
          <w:bCs/>
        </w:rPr>
      </w:pPr>
      <w:r w:rsidRPr="00CF5BF6">
        <w:rPr>
          <w:b/>
          <w:bCs/>
          <w:highlight w:val="yellow"/>
        </w:rPr>
        <w:t>Reference to “applicable laws” is vague without specifying ADGM-specific legal frameworks.</w:t>
      </w:r>
    </w:p>
    <w:p/>
    <w:p w14:paraId="3965420D" w14:textId="77777777" w:rsidR="00CF5BF6" w:rsidRPr="00CF5BF6" w:rsidRDefault="00CF5BF6" w:rsidP="00CF5BF6">
      <w:pPr>
        <w:rPr>
          <w:b/>
          <w:bCs/>
        </w:rPr>
      </w:pPr>
      <w:r w:rsidRPr="00CF5BF6">
        <w:rPr>
          <w:b/>
          <w:bCs/>
        </w:rPr>
        <w:pict w14:anchorId="5F6F175D">
          <v:rect id="_x0000_i1088" style="width:0;height:.75pt" o:hralign="center" o:hrstd="t" o:hr="t" fillcolor="#a0a0a0" stroked="f"/>
        </w:pict>
      </w:r>
    </w:p>
    <w:p w14:paraId="7CA3C7E8" w14:textId="77777777" w:rsidR="00CF5BF6" w:rsidRPr="00CF5BF6" w:rsidRDefault="00CF5BF6" w:rsidP="00CF5BF6">
      <w:pPr>
        <w:rPr>
          <w:b/>
          <w:bCs/>
        </w:rPr>
      </w:pPr>
      <w:r w:rsidRPr="00CF5BF6">
        <w:rPr>
          <w:b/>
          <w:bCs/>
        </w:rPr>
        <w:t>Registered Office:</w:t>
      </w:r>
    </w:p>
    <w:p w14:paraId="323911A8" w14:textId="77777777" w:rsidR="00CF5BF6" w:rsidRPr="00CF5BF6" w:rsidRDefault="00CF5BF6" w:rsidP="00CF5BF6">
      <w:pPr>
        <w:numPr>
          <w:ilvl w:val="0"/>
          <w:numId w:val="9"/>
        </w:numPr>
        <w:rPr>
          <w:b/>
          <w:bCs/>
        </w:rPr>
      </w:pPr>
      <w:r w:rsidRPr="00CF5BF6">
        <w:rPr>
          <w:b/>
          <w:bCs/>
          <w:highlight w:val="yellow"/>
        </w:rPr>
        <w:t>Address mentioned is outside the ADGM jurisdiction.</w:t>
      </w:r>
    </w:p>
    <w:p/>
    <w:p w14:paraId="47253225" w14:textId="77777777" w:rsidR="00CD11A2" w:rsidRPr="00CF5BF6" w:rsidRDefault="00CD11A2" w:rsidP="00CF5BF6"/>
    <w:p>
      <w:pPr>
        <w:pStyle w:val="IntenseQuote"/>
      </w:pPr>
      <w:r>
        <w:t>[UNPLACED COMMENT] The company explicitly states an agreement to be governed by the laws of the UAE Federal Courts rather than ADGM regulations. | Ref: Companies Regulations (Amendment No. 1) 2024, 2(2) and Companies Regulations (Amendment No. 2) 2024, 2(2), which state: 'These Regulations shall apply in the Abu Dhabi Global Market.'</w:t>
      </w:r>
    </w:p>
    <w:p>
      <w:pPr>
        <w:pStyle w:val="IntenseQuote"/>
      </w:pPr>
      <w:r>
        <w:t>[UNPLACED COMMENT] The memorandum of association contains ambiguous language regarding company activities, stating 'The company may, at its discretion, engage in any activities it deems fit.' | Ref: Paragraph (3)(e)(a)(ii), which states the Registrar shall have regard to 'the company’s governance, policies and procedures.' Overly broad clauses contradict the requirement for defined activities in a regulated environment.</w:t>
      </w:r>
    </w:p>
    <w:p>
      <w:pPr>
        <w:pStyle w:val="IntenseQuote"/>
      </w:pPr>
      <w:r>
        <w:t>[COMMENT] The signatory section is incomplete, lacking a designated Authorized Signatory, contact details, or signature. | Ref: Implicit requirement for all official regulatory submissions. Section 296B(2A) refers to the company service provider making filings, implying proper execution and authorization of documents.</w:t>
      </w:r>
    </w:p>
    <w:p>
      <w:pPr>
        <w:pStyle w:val="IntenseQuote"/>
      </w:pPr>
      <w:r>
        <w:t>[COMMENT] The document formatting does not follow the ADGM template for resolutions and certifications. | Ref: Paragraph (3)(e)(b), which states the Registrar 'may require such further information and supporting documentation as it considers appropriate.' Adherence to templates is generally considered appropriate for proper submission.</w:t>
      </w:r>
    </w:p>
    <w:p>
      <w:pPr>
        <w:pStyle w:val="IntenseQuote"/>
      </w:pPr>
      <w:r>
        <w:t>[COMMENT] Several crucial clauses are missing, specifically those related to Anti-Money Laundering (AML) compliance and data protection responsibilities. | Ref: Section 296B(1)(b) and (c) refer to 'the Commercial Licensing Regulations 2015 (Conditions of Licence and Branch Registration) Rules 2021' and 'the Beneficial Ownership and Control Regulations 2018,' which inherently include requirements for AML/CTF and beneficial ownership. Paragraph (3)(e)(a)(ii) also refers to the company’s 'governance, policies and procedures.'</w:t>
      </w:r>
    </w:p>
    <w:p>
      <w:pPr>
        <w:pStyle w:val="IntenseQuote"/>
      </w:pPr>
      <w:r>
        <w:t>[COMMENT] The resolution document lacks a proper date and has no formal signature section or witness attestation. | Ref: Section 296B(1)(a)(viii) refers to 'section 360 (records of resolutions etc).' For a resolution to be validly recorded and maintained, it must be properly dated and executed.</w:t>
      </w:r>
    </w:p>
    <w:p>
      <w:pPr>
        <w:pStyle w:val="IntenseQuote"/>
      </w:pPr>
      <w:r>
        <w:t>[COMMENT] Reference to “applicable laws” is vague without specifying ADGM-specific legal frameworks. | Ref: The various Companies Regulations amendments consistently state 'These Regulations shall apply in the Abu Dhabi Global Market' (e.g., Companies Regulations (Amendment No. 1) 2024, 2(2)). Specificity regarding ADGM laws is essential for registration within the jurisdiction.</w:t>
      </w:r>
    </w:p>
    <w:p>
      <w:pPr>
        <w:pStyle w:val="IntenseQuote"/>
      </w:pPr>
      <w:r>
        <w:t>[COMMENT] The address mentioned for the registered office is outside the ADGM jurisdiction. | Ref: Section 296B(2)(a) states: 'A company service provider of a non-exempt company – (a) must act as a registered office provider to that company, unless a different registered office is otherwise expressly permitted by the Registrar.' This implies the registered office should be within ADGM unless a specific exception is granted.</w:t>
      </w:r>
    </w:p>
    <w:sectPr w:rsidR="00CD11A2" w:rsidRPr="00CF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42B62"/>
    <w:multiLevelType w:val="multilevel"/>
    <w:tmpl w:val="2FE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20D5A"/>
    <w:multiLevelType w:val="multilevel"/>
    <w:tmpl w:val="B58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C58A6"/>
    <w:multiLevelType w:val="multilevel"/>
    <w:tmpl w:val="40C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67930"/>
    <w:multiLevelType w:val="multilevel"/>
    <w:tmpl w:val="D79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82CBF"/>
    <w:multiLevelType w:val="multilevel"/>
    <w:tmpl w:val="D2F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11435"/>
    <w:multiLevelType w:val="multilevel"/>
    <w:tmpl w:val="C41A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2000E"/>
    <w:multiLevelType w:val="multilevel"/>
    <w:tmpl w:val="A15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A062A"/>
    <w:multiLevelType w:val="multilevel"/>
    <w:tmpl w:val="30F0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845D4"/>
    <w:multiLevelType w:val="multilevel"/>
    <w:tmpl w:val="456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929961">
    <w:abstractNumId w:val="2"/>
  </w:num>
  <w:num w:numId="2" w16cid:durableId="1758625190">
    <w:abstractNumId w:val="5"/>
  </w:num>
  <w:num w:numId="3" w16cid:durableId="191843955">
    <w:abstractNumId w:val="0"/>
  </w:num>
  <w:num w:numId="4" w16cid:durableId="2124835128">
    <w:abstractNumId w:val="6"/>
  </w:num>
  <w:num w:numId="5" w16cid:durableId="36122191">
    <w:abstractNumId w:val="7"/>
  </w:num>
  <w:num w:numId="6" w16cid:durableId="126634353">
    <w:abstractNumId w:val="3"/>
  </w:num>
  <w:num w:numId="7" w16cid:durableId="378363125">
    <w:abstractNumId w:val="1"/>
  </w:num>
  <w:num w:numId="8" w16cid:durableId="1438985728">
    <w:abstractNumId w:val="4"/>
  </w:num>
  <w:num w:numId="9" w16cid:durableId="199785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4F"/>
    <w:rsid w:val="008874D9"/>
    <w:rsid w:val="00924E4F"/>
    <w:rsid w:val="00B67758"/>
    <w:rsid w:val="00CD11A2"/>
    <w:rsid w:val="00CF5BF6"/>
    <w:rsid w:val="00EC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B3FD"/>
  <w15:chartTrackingRefBased/>
  <w15:docId w15:val="{B2376971-A7CE-495D-8D7F-A1AB3E8B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E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E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E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E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E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E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E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E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E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4F"/>
    <w:rPr>
      <w:rFonts w:eastAsiaTheme="majorEastAsia" w:cstheme="majorBidi"/>
      <w:color w:val="272727" w:themeColor="text1" w:themeTint="D8"/>
    </w:rPr>
  </w:style>
  <w:style w:type="paragraph" w:styleId="Title">
    <w:name w:val="Title"/>
    <w:basedOn w:val="Normal"/>
    <w:next w:val="Normal"/>
    <w:link w:val="TitleChar"/>
    <w:uiPriority w:val="10"/>
    <w:qFormat/>
    <w:rsid w:val="00924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4F"/>
    <w:pPr>
      <w:spacing w:before="160"/>
      <w:jc w:val="center"/>
    </w:pPr>
    <w:rPr>
      <w:i/>
      <w:iCs/>
      <w:color w:val="404040" w:themeColor="text1" w:themeTint="BF"/>
    </w:rPr>
  </w:style>
  <w:style w:type="character" w:customStyle="1" w:styleId="QuoteChar">
    <w:name w:val="Quote Char"/>
    <w:basedOn w:val="DefaultParagraphFont"/>
    <w:link w:val="Quote"/>
    <w:uiPriority w:val="29"/>
    <w:rsid w:val="00924E4F"/>
    <w:rPr>
      <w:i/>
      <w:iCs/>
      <w:color w:val="404040" w:themeColor="text1" w:themeTint="BF"/>
    </w:rPr>
  </w:style>
  <w:style w:type="paragraph" w:styleId="ListParagraph">
    <w:name w:val="List Paragraph"/>
    <w:basedOn w:val="Normal"/>
    <w:uiPriority w:val="34"/>
    <w:qFormat/>
    <w:rsid w:val="00924E4F"/>
    <w:pPr>
      <w:ind w:left="720"/>
      <w:contextualSpacing/>
    </w:pPr>
  </w:style>
  <w:style w:type="character" w:styleId="IntenseEmphasis">
    <w:name w:val="Intense Emphasis"/>
    <w:basedOn w:val="DefaultParagraphFont"/>
    <w:uiPriority w:val="21"/>
    <w:qFormat/>
    <w:rsid w:val="00924E4F"/>
    <w:rPr>
      <w:i/>
      <w:iCs/>
      <w:color w:val="2F5496" w:themeColor="accent1" w:themeShade="BF"/>
    </w:rPr>
  </w:style>
  <w:style w:type="paragraph" w:styleId="IntenseQuote">
    <w:name w:val="Intense Quote"/>
    <w:basedOn w:val="Normal"/>
    <w:next w:val="Normal"/>
    <w:link w:val="IntenseQuoteChar"/>
    <w:uiPriority w:val="30"/>
    <w:qFormat/>
    <w:rsid w:val="00924E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E4F"/>
    <w:rPr>
      <w:i/>
      <w:iCs/>
      <w:color w:val="2F5496" w:themeColor="accent1" w:themeShade="BF"/>
    </w:rPr>
  </w:style>
  <w:style w:type="character" w:styleId="IntenseReference">
    <w:name w:val="Intense Reference"/>
    <w:basedOn w:val="DefaultParagraphFont"/>
    <w:uiPriority w:val="32"/>
    <w:qFormat/>
    <w:rsid w:val="00924E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Ravikkumar</dc:creator>
  <cp:keywords/>
  <dc:description/>
  <cp:lastModifiedBy>Riya Ravikkumar</cp:lastModifiedBy>
  <cp:revision>3</cp:revision>
  <cp:lastPrinted>2025-08-11T13:30:00Z</cp:lastPrinted>
  <dcterms:created xsi:type="dcterms:W3CDTF">2025-08-11T13:25:00Z</dcterms:created>
  <dcterms:modified xsi:type="dcterms:W3CDTF">2025-08-11T15:15:00Z</dcterms:modified>
</cp:coreProperties>
</file>