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Clause 1.1: This company shall be governed under the applicable laws of the United Arab Emirates Federal Courts.</w:t>
      </w:r>
    </w:p>
    <w:p>
      <w:r>
        <w:t>Clause 3.4: The objectives of the company shall be determined “as deemed necessary from time to time” without further specificity.</w:t>
      </w:r>
    </w:p>
    <w:p>
      <w:r>
        <w:t>Clause 5.2: The Board may issue shares without the requirement for disclosure as per “General Corporate Law 2018.”</w:t>
      </w:r>
    </w:p>
    <w:p>
      <w:r>
        <w:t>(Signature Section: Omitted)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