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Articles of Association of Example Co.</w:t>
      </w:r>
    </w:p>
    <w:p>
      <w:r>
        <w:rPr>
          <w:highlight w:val="yellow"/>
        </w:rPr>
        <w:t>Clause 3.1 Jurisdiction: UAE Federal Courts</w:t>
      </w:r>
      <w:r>
        <w:t xml:space="preserve">  [⚠ High - Jurisdiction clause does not specify ADGM]</w:t>
      </w:r>
    </w:p>
    <w:p>
      <w:r>
        <w:t>Signed by: __________________</w:t>
      </w:r>
    </w:p>
    <w:p>
      <w:r>
        <w:br w:type="page"/>
      </w:r>
    </w:p>
    <w:p>
      <w:r>
        <w:t>=== RED FLAGS SUMMARY ===</w:t>
      </w:r>
    </w:p>
    <w:p>
      <w:r>
        <w:rPr>
          <w:b/>
        </w:rPr>
        <w:t>⚠ High - Jurisdiction clause does not specify ADGM</w:t>
      </w:r>
      <w:r>
        <w:br/>
        <w:t>Suggestion: Update jurisdiction to ADGM Courts.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