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ARTICLES OF ASSOCIATION</w:t>
      </w:r>
    </w:p>
    <w:p>
      <w:pPr>
        <w:pStyle w:val="Heading1"/>
      </w:pPr>
      <w:r>
        <w:t>TECHCORP MIDDLE EAST LIMITED</w:t>
      </w:r>
    </w:p>
    <w:p>
      <w:r>
        <w:t>A Private Company Limited by Shares</w:t>
      </w:r>
    </w:p>
    <w:p/>
    <w:p>
      <w:pPr>
        <w:pStyle w:val="Heading2"/>
      </w:pPr>
      <w:r>
        <w:t>ARTICLE 1 - COMPANY NAME AND OBJECTS</w:t>
      </w:r>
    </w:p>
    <w:p>
      <w:r>
        <w:t>1.1 The name of the Company is "TechCorp Middle East Limited".</w:t>
      </w:r>
    </w:p>
    <w:p>
      <w:r>
        <w:t>1.2 The objects of the Company are to engage in technology consulting, software development, and related business activities as may be determined by the Board of Directors from time to time.</w:t>
      </w:r>
    </w:p>
    <w:p>
      <w:pPr>
        <w:pStyle w:val="Heading2"/>
      </w:pPr>
      <w:r>
        <w:t>ARTICLE 2 - SHARE CAPITAL</w:t>
      </w:r>
    </w:p>
    <w:p>
      <w:r>
        <w:t>2.1 The Company may issue shares as determined by the Board.</w:t>
      </w:r>
    </w:p>
    <w:p>
      <w:r>
        <w:t>2.2 Share capital shall be adequate for business operations.</w:t>
      </w:r>
    </w:p>
    <w:p>
      <w:pPr>
        <w:pStyle w:val="Heading2"/>
      </w:pPr>
      <w:r>
        <w:t>ARTICLE 3 - REGISTERED OFFICE</w:t>
      </w:r>
    </w:p>
    <w:p>
      <w:r>
        <w:t>3.1 The registered office of the Company shall be located in the United Arab Emirates.</w:t>
      </w:r>
    </w:p>
    <w:p>
      <w:pPr>
        <w:pStyle w:val="Heading2"/>
      </w:pPr>
      <w:r>
        <w:t>ARTICLE 4 - DIRECTORS</w:t>
      </w:r>
    </w:p>
    <w:p>
      <w:r>
        <w:t>4.1 The Company shall have not less than one director.</w:t>
      </w:r>
    </w:p>
    <w:p>
      <w:r>
        <w:t>4.2 Directors may be appointed and removed by shareholders in general meeting.</w:t>
      </w:r>
    </w:p>
    <w:p>
      <w:pPr>
        <w:pStyle w:val="Heading2"/>
      </w:pPr>
      <w:r>
        <w:t>ARTICLE 5 - MEETINGS</w:t>
      </w:r>
    </w:p>
    <w:p>
      <w:r>
        <w:t>5.1 General meetings of shareholders may be called by the Board of Directors.</w:t>
      </w:r>
    </w:p>
    <w:p>
      <w:r>
        <w:t>5.2 Notice of meetings shall be given in accordance with applicable law.</w:t>
      </w:r>
    </w:p>
    <w:p>
      <w:pPr>
        <w:pStyle w:val="Heading2"/>
      </w:pPr>
      <w:r>
        <w:t>ARTICLE 6 - GOVERNING LAW AND JURISDICTION</w:t>
      </w:r>
    </w:p>
    <w:p>
      <w:r>
        <w:t>6.1 These Articles and all matters relating to the Company shall be governed by the laws of the United Arab Emirates.</w:t>
      </w:r>
    </w:p>
    <w:p>
      <w:r>
        <w:t>6.2 Any disputes arising under these Articles shall be subject to the exclusive jurisdiction of the UAE Federal Courts.</w:t>
      </w:r>
    </w:p>
    <w:p>
      <w:pPr>
        <w:pStyle w:val="Heading2"/>
      </w:pPr>
      <w:r>
        <w:t>ARTICLE 7 - AMENDMENT</w:t>
      </w:r>
    </w:p>
    <w:p>
      <w:r>
        <w:t>7.1 These Articles may be amended by special resolution of the shareholders.</w:t>
      </w:r>
    </w:p>
    <w:p/>
    <w:p>
      <w:r>
        <w:t>IN WITNESS WHEREOF, the undersigned have executed these Articles.</w:t>
      </w:r>
    </w:p>
    <w:p/>
    <w:p>
      <w:r>
        <w:t>Date: _______________</w:t>
      </w:r>
    </w:p>
    <w:p/>
    <w:p>
      <w:r>
        <w:t>Founder: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