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Articles of Association</w:t>
      </w:r>
    </w:p>
    <w:p>
      <w:r>
        <w:t>Clause 3.1: The jurisdiction for all disputes shall be UAE Federal Courts.</w:t>
      </w:r>
      <w:r>
        <w:rPr>
          <w:b/>
          <w:i/>
        </w:rPr>
        <w:br/>
        <w:t>⚠️ COMMENT: Per ADGM Companies Regulations 2020, jurisdiction must specify ADGM Courts.</w:t>
      </w:r>
    </w:p>
    <w:p>
      <w:r>
        <w:t>Clause 4.2: Shareholder rights shall be determined by the general resolution.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