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after="120"/>
      </w:pPr>
      <w:r>
        <w:rPr>
          <w:b/>
          <w:color w:val="8B0000"/>
          <w:sz w:val="24"/>
        </w:rPr>
        <w:t>AI SUMMARY</w:t>
      </w:r>
      <w:r>
        <w:t xml:space="preserve">: </w:t>
      </w:r>
      <w:r>
        <w:rPr>
          <w:sz w:val="20"/>
        </w:rPr>
        <w:t>Issues found: 104  (High: 8, Medium: 87, Low: 9)</w:t>
      </w:r>
      <w:r>
        <w:br/>
      </w:r>
      <w:r>
        <w:t xml:space="preserve">Categories: </w:t>
      </w:r>
      <w:r>
        <w:rPr>
          <w:sz w:val="20"/>
        </w:rPr>
        <w:t>compliance (103), ambiguity (1)</w:t>
      </w:r>
      <w:r>
        <w:br/>
      </w:r>
      <w:r>
        <w:t>Helpful resources:</w:t>
      </w:r>
      <w:r>
        <w:br/>
      </w:r>
      <w:r>
        <w:t xml:space="preserve">- </w:t>
      </w:r>
      <w:r>
        <w:rPr>
          <w:color w:val="0066CC"/>
          <w:u w:val="single"/>
        </w:rPr>
        <w:t>ADGM Companies Regulations 2020: https://en.adgm.thomsonreuters.com/rulebook/1-companies-regulations-2020</w:t>
      </w:r>
      <w:r>
        <w:br/>
      </w:r>
      <w:r>
        <w:t xml:space="preserve">- </w:t>
      </w:r>
      <w:r>
        <w:rPr>
          <w:color w:val="0066CC"/>
          <w:u w:val="single"/>
        </w:rPr>
        <w:t>ADGM Constitutional Documents Guide: https://www.adgm.com/legal-framework/guidance-and-policy-statements</w:t>
      </w:r>
      <w:r>
        <w:br/>
      </w:r>
      <w:r>
        <w:t xml:space="preserve">- </w:t>
      </w:r>
      <w:r>
        <w:rPr>
          <w:color w:val="0066CC"/>
          <w:u w:val="single"/>
        </w:rPr>
        <w:t>ADGM Jurisdiction Requirements: https://www.adgm.com/legal-framework/regulations</w:t>
      </w:r>
      <w:r>
        <w:br/>
      </w:r>
      <w:r>
        <w:t xml:space="preserve">- </w:t>
      </w:r>
      <w:r>
        <w:rPr>
          <w:color w:val="0066CC"/>
          <w:u w:val="single"/>
        </w:rPr>
        <w:t>ADGM Legal Writing Guidelines: https://www.adgm.com/legal-framework/guidance-and-policy-statements</w:t>
      </w:r>
      <w:r>
        <w:br/>
      </w:r>
      <w:r>
        <w:t xml:space="preserve">- </w:t>
      </w:r>
      <w:r>
        <w:rPr>
          <w:color w:val="0066CC"/>
          <w:u w:val="single"/>
        </w:rPr>
        <w:t>ADGM Template Library: https://assets.adgm.com/templates</w:t>
      </w:r>
      <w:r>
        <w:br/>
      </w:r>
      <w:r>
        <w:t xml:space="preserve">- </w:t>
      </w:r>
      <w:r>
        <w:rPr>
          <w:color w:val="0066CC"/>
          <w:u w:val="single"/>
        </w:rPr>
        <w:t>ADGM Plain Language Guide: https://www.adgm.com/legal-framework/guidance-and-policy-statements</w:t>
      </w:r>
      <w:r>
        <w:br/>
      </w:r>
      <w:r>
        <w:t xml:space="preserve">- </w:t>
      </w:r>
      <w:r>
        <w:rPr>
          <w:color w:val="0066CC"/>
          <w:u w:val="single"/>
        </w:rPr>
        <w:t>ADGM Guidance &amp; Templates: https://www.adgm.com/legal-framework/guidance-and-policy-statements</w:t>
      </w:r>
      <w:r>
        <w:br/>
      </w:r>
      <w:r>
        <w:t xml:space="preserve">- </w:t>
      </w:r>
      <w:r>
        <w:rPr>
          <w:color w:val="0066CC"/>
          <w:u w:val="single"/>
        </w:rPr>
        <w:t>ADGM Document Templates: https://assets.adgm.com/templates</w:t>
      </w:r>
      <w:r>
        <w:br/>
      </w:r>
      <w:r>
        <w:t xml:space="preserve">- </w:t>
      </w:r>
      <w:r>
        <w:rPr>
          <w:color w:val="0066CC"/>
          <w:u w:val="single"/>
        </w:rPr>
        <w:t>ADGM Required Clauses Guide: https://www.adgm.com/legal-framework/guidance-and-policy-statements</w:t>
      </w:r>
      <w:r>
        <w:br/>
      </w:r>
      <w:r>
        <w:t xml:space="preserve">- </w:t>
      </w:r>
      <w:r>
        <w:rPr>
          <w:color w:val="0066CC"/>
          <w:u w:val="single"/>
        </w:rPr>
        <w:t>ADGM Incorporation Package Rulebook: https://en.adgm.thomsonreuters.com/rulebook/7-company-incorporation-package</w:t>
      </w:r>
      <w:r>
        <w:br/>
      </w:r>
      <w:r>
        <w:t xml:space="preserve">- </w:t>
      </w:r>
      <w:r>
        <w:rPr>
          <w:color w:val="0066CC"/>
          <w:u w:val="single"/>
        </w:rPr>
        <w:t>ADGM Compliance Guide: https://www.adgm.com/operating-in-adgm/obligations-of-adgm-registered-entities</w:t>
      </w:r>
      <w:r>
        <w:br/>
      </w:r>
      <w:r>
        <w:t xml:space="preserve">- </w:t>
      </w:r>
      <w:r>
        <w:rPr>
          <w:color w:val="0066CC"/>
          <w:u w:val="single"/>
        </w:rPr>
        <w:t>ADGM Regulatory Framework: https://www.adgm.com/legal-framework/regulations</w:t>
      </w:r>
      <w:r>
        <w:br/>
      </w:r>
      <w:r>
        <w:br/>
      </w:r>
      <w:r>
        <w:rPr>
          <w:b w:val="0"/>
          <w:i/>
          <w:color w:val="FF8C00"/>
          <w:sz w:val="18"/>
        </w:rPr>
        <w:t>[ADGM REVIEW: ISSUE: Processing error: Response preprocessing failed... | CITATION: ADGM Legal Framework - General Requirements | SUGGESTION: Manual legal review required due to processing error]</w:t>
      </w:r>
      <w:r>
        <w:br/>
      </w:r>
      <w:r>
        <w:rPr>
          <w:b w:val="0"/>
          <w:i/>
          <w:color w:val="DAA520"/>
          <w:sz w:val="18"/>
        </w:rPr>
        <w:t>[ADGM REVIEW: ISSUE: The disclaimer states that the employment contract sets out the *minimum* employment standards applicable in ADGM pursuant to ADGM Employment Regulations of 2024, which may be amended from time to time without notification. While technically correct, this could be interpreted as the contract not fully reflecting current regulations if amendments occur after its creation. The disclaimer also states that it is not legal advice. | CITATION: ADGM Standard Employment Contract Template (2024) | SUGGESTION: Add a clause stating that the employer is responsible for ensuring the contract remains compliant with the latest ADGM Employment Regulations throughout the employment term. Also, consider removing the disclaimer that it is not legal advice, as it is implied.]</w:t>
      </w:r>
    </w:p>
    <w:p>
      <w:pPr>
        <w:spacing w:after="120"/>
      </w:pPr>
      <w:r>
        <w:rPr>
          <w:b/>
          <w:color w:val="00008B"/>
          <w:sz w:val="28"/>
        </w:rPr>
        <w:t>ADGM COMPLIANCE REVIEW - AUTOMATED ANALYSIS</w:t>
      </w:r>
      <w:r>
        <w:rPr>
          <w:sz w:val="20"/>
        </w:rPr>
        <w:t xml:space="preserve"> | Analysis Date: 2025-08-11 17:28</w:t>
      </w:r>
    </w:p>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r>
        <w:br/>
      </w:r>
      <w:r>
        <w:rPr>
          <w:b w:val="0"/>
          <w:i/>
          <w:color w:val="FF8C00"/>
          <w:sz w:val="18"/>
        </w:rPr>
        <w:t>[ADGM REVIEW: ISSUE: Processing error: Response preprocessing failed... | CITATION: ADGM Legal Framework - General Requirements | SUGGESTION: Manual legal review required due to processing error]</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r>
        <w:br/>
      </w:r>
      <w:r>
        <w:rPr>
          <w:b w:val="0"/>
          <w:i/>
          <w:color w:val="FF8C00"/>
          <w:sz w:val="18"/>
        </w:rPr>
        <w:t>[ADGM REVIEW: ISSUE: Processing error: Response preprocessing failed... | CITATION: ADGM Legal Framework - General Requirements | SUGGESTION: Manual legal review required due to processing error]</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r>
        <w:br/>
      </w:r>
      <w:r>
        <w:rPr>
          <w:b w:val="0"/>
          <w:i/>
          <w:color w:val="FF8C00"/>
          <w:sz w:val="18"/>
        </w:rPr>
        <w:t>[ADGM REVIEW: ISSUE: Processing error: Response preprocessing failed... | CITATION: ADGM Legal Framework - General Requirements | SUGGESTION: Manual legal review required due to processing error]</w:t>
      </w:r>
    </w:p>
    <w:p w14:paraId="47C444E9" w14:textId="77777777" w:rsidR="00E9667C" w:rsidRPr="007A285B" w:rsidRDefault="00E9667C" w:rsidP="00E9667C">
      <w:pPr>
        <w:pStyle w:val="ListParagraph"/>
        <w:rPr>
          <w:rFonts w:cstheme="minorHAnsi"/>
          <w:b/>
          <w:bCs/>
          <w:color w:val="FF0000"/>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r>
        <w:br/>
      </w:r>
      <w:r>
        <w:rPr>
          <w:b w:val="0"/>
          <w:i/>
          <w:color w:val="FF8C00"/>
          <w:sz w:val="18"/>
        </w:rPr>
        <w:t>[ADGM REVIEW: ISSUE: Processing error: Response preprocessing failed... | CITATION: ADGM Legal Framework - General Requirements | SUGGESTION: Manual legal review required due to processing error]</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br/>
      </w:r>
      <w:r>
        <w:rPr>
          <w:b w:val="0"/>
          <w:i/>
          <w:color w:val="FF8C00"/>
          <w:sz w:val="18"/>
        </w:rPr>
        <w:t>[ADGM REVIEW: ISSUE: Processing error: Response preprocessing failed... | CITATION: ADGM Legal Framework - General Requirements | SUGGESTION: Manual legal review required due to processing error]</w:t>
      </w: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r>
        <w:br/>
      </w:r>
      <w:r>
        <w:rPr>
          <w:b w:val="0"/>
          <w:i/>
          <w:color w:val="FF8C00"/>
          <w:sz w:val="18"/>
        </w:rPr>
        <w:t>[ADGM REVIEW: ISSUE: Processing error: Response preprocessing failed... | CITATION: ADGM Legal Framework - General Requirements | SUGGESTION: Manual legal review required due to processing error]</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r>
        <w:br/>
      </w:r>
      <w:r>
        <w:rPr>
          <w:b/>
          <w:i/>
          <w:color w:val="DC143C"/>
          <w:sz w:val="18"/>
          <w:highlight w:val="yellow"/>
        </w:rPr>
        <w:t>[ADGM REVIEW: ISSUE: While this clause is acceptable for unlimited contracts, it lacks detail regarding termination procedures. The contract MUST clearly outline the notice periods required for termination by either party, grounds for termination, and any applicable severance pay or end-of-service benefits as per ADGM Employment Regulations. | CITATION: ADGM Employment Regulations, Articles relating to Termination of Employment. | SUGGESTION: Expand this section to include detailed termination procedures, including notice periods, grounds for termination (with and without cause), and entitlements to severance pay or end-of-service benefits as per ADGM regulations. Include clauses addressing summary dismissal.]</w:t>
      </w:r>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r>
        <w:br/>
      </w:r>
      <w:r>
        <w:rPr>
          <w:b/>
          <w:i/>
          <w:color w:val="DC143C"/>
          <w:sz w:val="18"/>
          <w:highlight w:val="yellow"/>
        </w:rPr>
        <w:t>[ADGM REVIEW: ISSUE: While this clause is acceptable for unlimited contracts, it lacks detail regarding termination procedures. The contract MUST clearly outline the notice periods required for termination by either party, grounds for termination, and any applicable severance pay or end-of-service benefits as per ADGM Employment Regulations. | CITATION: ADGM Employment Regulations, Articles relating to Termination of Employment. | SUGGESTION: Expand this section to include detailed termination procedures, including notice periods, grounds for termination (with and without cause), and entitlements to severance pay or end-of-service benefits as per ADGM regulations. Include clauses addressing summary dismissal.]</w:t>
      </w:r>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r>
        <w:br/>
      </w:r>
      <w:r>
        <w:rPr>
          <w:b/>
          <w:i/>
          <w:color w:val="DC143C"/>
          <w:sz w:val="18"/>
          <w:highlight w:val="yellow"/>
        </w:rPr>
        <w:t>[ADGM REVIEW: ISSUE: While this clause is acceptable for unlimited contracts, it lacks detail regarding termination procedures. The contract MUST clearly outline the notice periods required for termination by either party, grounds for termination, and any applicable severance pay or end-of-service benefits as per ADGM Employment Regulations. | CITATION: ADGM Employment Regulations, Articles relating to Termination of Employment. | SUGGESTION: Expand this section to include detailed termination procedures, including notice periods, grounds for termination (with and without cause), and entitlements to severance pay or end-of-service benefits as per ADGM regulations. Include clauses addressing summary dismissal.]</w:t>
      </w:r>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r>
        <w:br/>
      </w:r>
      <w:r>
        <w:rPr>
          <w:b w:val="0"/>
          <w:i/>
          <w:color w:val="FF8C00"/>
          <w:sz w:val="18"/>
        </w:rPr>
        <w:t>[ADGM REVIEW: ISSUE: Processing error: Response preprocessing failed... | CITATION: ADGM Legal Framework - General Requirements | SUGGESTION: Manual legal review required due to processing error]</w:t>
      </w:r>
    </w:p>
    <w:p w14:paraId="031CEDB9" w14:textId="77777777" w:rsidR="00612794" w:rsidRPr="00612794" w:rsidRDefault="00612794" w:rsidP="00612794">
      <w:r>
        <w:br/>
      </w:r>
      <w:r>
        <w:rPr>
          <w:b w:val="0"/>
          <w:i/>
          <w:color w:val="FF8C00"/>
          <w:sz w:val="18"/>
        </w:rPr>
        <w:t>[ADGM REVIEW: ISSUE: Processing error: Response preprocessing failed... | CITATION: ADGM Legal Framework - General Requirements | SUGGESTION: Manual legal review required due to processing error]</w:t>
      </w:r>
    </w:p>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r>
        <w:br/>
      </w:r>
      <w:r>
        <w:rPr>
          <w:b/>
          <w:i/>
          <w:color w:val="DC143C"/>
          <w:sz w:val="18"/>
          <w:highlight w:val="yellow"/>
        </w:rPr>
        <w:t>[ADGM REVIEW: ISSUE: While this clause is acceptable for unlimited contracts, it lacks detail regarding termination procedures. The contract MUST clearly outline the notice periods required for termination by either party, grounds for termination, and any applicable severance pay or end-of-service benefits as per ADGM Employment Regulations. | CITATION: ADGM Employment Regulations, Articles relating to Termination of Employment. | SUGGESTION: Expand this section to include detailed termination procedures, including notice periods, grounds for termination (with and without cause), and entitlements to severance pay or end-of-service benefits as per ADGM regulations. Include clauses addressing summary dismissal.]</w:t>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r>
        <w:br/>
      </w:r>
      <w:r>
        <w:rPr>
          <w:b/>
          <w:i/>
          <w:color w:val="DC143C"/>
          <w:sz w:val="18"/>
          <w:highlight w:val="yellow"/>
        </w:rPr>
        <w:t>[ADGM REVIEW: ISSUE: While this clause is acceptable for unlimited contracts, it lacks detail regarding termination procedures. The contract MUST clearly outline the notice periods required for termination by either party, grounds for termination, and any applicable severance pay or end-of-service benefits as per ADGM Employment Regulations. | CITATION: ADGM Employment Regulations, Articles relating to Termination of Employment. | SUGGESTION: Expand this section to include detailed termination procedures, including notice periods, grounds for termination (with and without cause), and entitlements to severance pay or end-of-service benefits as per ADGM regulations. Include clauses addressing summary dismissal.]</w:t>
      </w:r>
    </w:p>
    <w:p w14:paraId="4B21C352" w14:textId="77777777" w:rsidR="00E52C17" w:rsidRPr="00F51864" w:rsidRDefault="00E52C17" w:rsidP="00E52C17">
      <w:pPr>
        <w:pStyle w:val="ListParagraph"/>
        <w:ind w:left="360"/>
        <w:jc w:val="both"/>
        <w:rPr>
          <w:rFonts w:cstheme="minorHAnsi"/>
          <w:bCs/>
        </w:rPr>
      </w:pPr>
      <w:r>
        <w:br/>
      </w:r>
      <w:r>
        <w:rPr>
          <w:b/>
          <w:i/>
          <w:color w:val="DC143C"/>
          <w:sz w:val="18"/>
          <w:highlight w:val="yellow"/>
        </w:rPr>
        <w:t>[ADGM REVIEW: ISSUE: While this clause is acceptable for unlimited contracts, it lacks detail regarding termination procedures. The contract MUST clearly outline the notice periods required for termination by either party, grounds for termination, and any applicable severance pay or end-of-service benefits as per ADGM Employment Regulations. | CITATION: ADGM Employment Regulations, Articles relating to Termination of Employment. | SUGGESTION: Expand this section to include detailed termination procedures, including notice periods, grounds for termination (with and without cause), and entitlements to severance pay or end-of-service benefits as per ADGM regulations. Include clauses addressing summary dismissal.]</w:t>
      </w: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r>
        <w:br/>
      </w:r>
      <w:r>
        <w:rPr>
          <w:b/>
          <w:i/>
          <w:color w:val="DC143C"/>
          <w:sz w:val="18"/>
          <w:highlight w:val="yellow"/>
        </w:rPr>
        <w:t>[ADGM REVIEW: ISSUE: While this clause is acceptable for unlimited contracts, it lacks detail regarding termination procedures. The contract MUST clearly outline the notice periods required for termination by either party, grounds for termination, and any applicable severance pay or end-of-service benefits as per ADGM Employment Regulations. | CITATION: ADGM Employment Regulations, Articles relating to Termination of Employment. | SUGGESTION: Expand this section to include detailed termination procedures, including notice periods, grounds for termination (with and without cause), and entitlements to severance pay or end-of-service benefits as per ADGM regulations. Include clauses addressing summary dismissal.]</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r>
        <w:br/>
      </w:r>
      <w:r>
        <w:rPr>
          <w:b w:val="0"/>
          <w:i/>
          <w:color w:val="FF8C00"/>
          <w:sz w:val="18"/>
        </w:rPr>
        <w:t>[ADGM REVIEW: ISSUE: Processing error: Response preprocessing failed... | CITATION: ADGM Legal Framework - General Requirements | SUGGESTION: Manual legal review required due to processing error]</w:t>
      </w:r>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r>
        <w:br/>
      </w:r>
      <w:r>
        <w:rPr>
          <w:b/>
          <w:i/>
          <w:color w:val="DC143C"/>
          <w:sz w:val="18"/>
          <w:highlight w:val="yellow"/>
        </w:rPr>
        <w:t>[ADGM REVIEW: ISSUE: While this clause is acceptable for unlimited contracts, it lacks detail regarding termination procedures. The contract MUST clearly outline the notice periods required for termination by either party, grounds for termination, and any applicable severance pay or end-of-service benefits as per ADGM Employment Regulations. | CITATION: ADGM Employment Regulations, Articles relating to Termination of Employment. | SUGGESTION: Expand this section to include detailed termination procedures, including notice periods, grounds for termination (with and without cause), and entitlements to severance pay or end-of-service benefits as per ADGM regulations. Include clauses addressing summary dismissal.]</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r>
        <w:br/>
      </w:r>
      <w:r>
        <w:rPr>
          <w:b w:val="0"/>
          <w:i/>
          <w:color w:val="FF8C00"/>
          <w:sz w:val="18"/>
        </w:rPr>
        <w:t>[ADGM REVIEW: ISSUE: Processing error: Response preprocessing failed... | CITATION: ADGM Legal Framework - General Requirements | SUGGESTION: Manual legal review required due to processing error]</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r>
        <w:br/>
      </w:r>
      <w:r>
        <w:rPr>
          <w:b w:val="0"/>
          <w:i/>
          <w:color w:val="FF8C00"/>
          <w:sz w:val="18"/>
        </w:rPr>
        <w:t>[ADGM REVIEW: ISSUE: Processing error: Response preprocessing failed... | CITATION: ADGM Legal Framework - General Requirements | SUGGESTION: Manual legal review required due to processing error]</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r>
        <w:br/>
      </w:r>
      <w:r>
        <w:rPr>
          <w:b w:val="0"/>
          <w:i/>
          <w:color w:val="DAA520"/>
          <w:sz w:val="18"/>
        </w:rPr>
        <w:t>[ADGM REVIEW: ISSUE: The clause grants the Company sole discretion to amend the Employee Handbook. While common, it should be qualified by stating that amendments will be reasonable and compliant with ADGM regulations. Unilateral changes that significantly disadvantage the employee could be challenged. | CITATION: ADGM Employment Regulations regarding fair treatment and reasonable employment practices. | SUGGESTION: Add a clause stating that amendments to the Employee Handbook will be reasonable, communicated to the employee in writing, and compliant with ADGM Employment Regulations.]</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r>
        <w:br/>
      </w:r>
      <w:r>
        <w:rPr>
          <w:b w:val="0"/>
          <w:i/>
          <w:color w:val="FF8C00"/>
          <w:sz w:val="18"/>
        </w:rPr>
        <w:t>[ADGM REVIEW: ISSUE: Processing error: Response preprocessing failed... | CITATION: ADGM Legal Framework - General Requirements | SUGGESTION: Manual legal review required due to processing error]</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r>
        <w:br/>
      </w:r>
      <w:r>
        <w:rPr>
          <w:b w:val="0"/>
          <w:i/>
          <w:color w:val="FF8C00"/>
          <w:sz w:val="18"/>
        </w:rPr>
        <w:t>[ADGM REVIEW: ISSUE: Processing error: Response preprocessing failed... | CITATION: ADGM Legal Framework - General Requirements | SUGGESTION: Manual legal review required due to processing error]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r>
        <w:br/>
      </w:r>
      <w:r>
        <w:rPr>
          <w:b w:val="0"/>
          <w:i/>
          <w:color w:val="FF8C00"/>
          <w:sz w:val="18"/>
        </w:rPr>
        <w:t>[ADGM REVIEW: ISSUE: Processing error: Response preprocessing failed... | CITATION: ADGM Legal Framework - General Requirements | SUGGESTION: Manual legal review required due to processing error]</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r>
        <w:br/>
      </w:r>
      <w:r>
        <w:rPr>
          <w:b w:val="0"/>
          <w:i/>
          <w:color w:val="FF8C00"/>
          <w:sz w:val="18"/>
        </w:rPr>
        <w:t>[ADGM REVIEW: ISSUE: Processing error: Response preprocessing failed... | CITATION: ADGM Legal Framework - General Requirements | SUGGESTION: Manual legal review required due to processing error]</w:t>
      </w:r>
    </w:p>
    <w:p w14:paraId="74D20FB5" w14:textId="77777777" w:rsidR="00CE2E2A" w:rsidRDefault="00CE2E2A" w:rsidP="00CE2E2A">
      <w:pPr>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r>
        <w:br/>
      </w:r>
      <w:r>
        <w:rPr>
          <w:b w:val="0"/>
          <w:i/>
          <w:color w:val="FF8C00"/>
          <w:sz w:val="18"/>
        </w:rPr>
        <w:t>[ADGM REVIEW: ISSUE: Processing error: Response preprocessing failed... | CITATION: ADGM Legal Framework - General Requirements | SUGGESTION: Manual legal review required due to processing error]</w:t>
      </w:r>
    </w:p>
    <w:p w14:paraId="29555FAD" w14:textId="77777777" w:rsidR="00CE2E2A" w:rsidRDefault="00CE2E2A" w:rsidP="00CE2E2A">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r>
        <w:br/>
      </w:r>
      <w:r>
        <w:rPr>
          <w:b w:val="0"/>
          <w:i/>
          <w:color w:val="DAA520"/>
          <w:sz w:val="18"/>
        </w:rPr>
        <w:t>[ADGM REVIEW: ISSUE: The clause grants the Company sole discretion to amend the Employee Handbook. While common, it should be qualified by stating that amendments will be reasonable and compliant with ADGM regulations. Unilateral changes that significantly disadvantage the employee could be challenged. | CITATION: ADGM Employment Regulations regarding fair treatment and reasonable employment practices. | SUGGESTION: Add a clause stating that amendments to the Employee Handbook will be reasonable, communicated to the employee in writing, and compliant with ADGM Employment Regulations.]</w:t>
      </w:r>
    </w:p>
    <w:p w14:paraId="3ADF1F22" w14:textId="77777777" w:rsidR="00D250E4" w:rsidRDefault="00D250E4" w:rsidP="00D250E4">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r>
        <w:br/>
      </w:r>
      <w:r>
        <w:rPr>
          <w:b w:val="0"/>
          <w:i/>
          <w:color w:val="DAA520"/>
          <w:sz w:val="18"/>
        </w:rPr>
        <w:t>[ADGM REVIEW: ISSUE: The clause grants the Company sole discretion to amend the Employee Handbook. While common, it should be qualified by stating that amendments will be reasonable and compliant with ADGM regulations. Unilateral changes that significantly disadvantage the employee could be challenged. | CITATION: ADGM Employment Regulations regarding fair treatment and reasonable employment practices. | SUGGESTION: Add a clause stating that amendments to the Employee Handbook will be reasonable, communicated to the employee in writing, and compliant with ADGM Employment Regulations.]</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53979BA4" w14:textId="77777777" w:rsidR="00CE2E2A" w:rsidRDefault="00CE2E2A" w:rsidP="00CE2E2A">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r>
        <w:br/>
      </w:r>
      <w:r>
        <w:rPr>
          <w:b w:val="0"/>
          <w:i/>
          <w:color w:val="FF8C00"/>
          <w:sz w:val="18"/>
        </w:rPr>
        <w:t>[ADGM REVIEW: ISSUE: Processing error: Response preprocessing failed... | CITATION: ADGM Legal Framework - General Requirements | SUGGESTION: Manual legal review required due to processing error]</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r>
        <w:br/>
      </w:r>
      <w:r>
        <w:rPr>
          <w:b w:val="0"/>
          <w:i/>
          <w:color w:val="DAA520"/>
          <w:sz w:val="18"/>
        </w:rPr>
        <w:t>[ADGM REVIEW: ISSUE: The clause grants the Company sole discretion to amend the Employee Handbook. While common, it should be qualified by stating that amendments will be reasonable and compliant with ADGM regulations. Unilateral changes that significantly disadvantage the employee could be challenged. | CITATION: ADGM Employment Regulations regarding fair treatment and reasonable employment practices. | SUGGESTION: Add a clause stating that amendments to the Employee Handbook will be reasonable, communicated to the employee in writing, and compliant with ADGM Employment Regulations.]</w:t>
      </w:r>
    </w:p>
    <w:p w14:paraId="4F6E8EC3" w14:textId="77777777" w:rsidR="00CE2E2A" w:rsidRDefault="00CE2E2A" w:rsidP="00CE2E2A">
      <w:pPr>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r>
        <w:br/>
      </w:r>
      <w:r>
        <w:rPr>
          <w:b w:val="0"/>
          <w:i/>
          <w:color w:val="DAA520"/>
          <w:sz w:val="18"/>
        </w:rPr>
        <w:t>[ADGM REVIEW: ISSUE: The clause grants the Company sole discretion to amend the Employee Handbook. While common, it should be qualified by stating that amendments will be reasonable and compliant with ADGM regulations. Unilateral changes that significantly disadvantage the employee could be challenged. | CITATION: ADGM Employment Regulations regarding fair treatment and reasonable employment practices. | SUGGESTION: Add a clause stating that amendments to the Employee Handbook will be reasonable, communicated to the employee in writing, and compliant with ADGM Employment Regulations.]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r>
        <w:br/>
      </w:r>
      <w:r>
        <w:rPr>
          <w:b w:val="0"/>
          <w:i/>
          <w:color w:val="DAA520"/>
          <w:sz w:val="18"/>
        </w:rPr>
        <w:t>[ADGM REVIEW: ISSUE: The clause grants the Company sole discretion to amend the Employee Handbook. While common, it should be qualified by stating that amendments will be reasonable and compliant with ADGM regulations. Unilateral changes that significantly disadvantage the employee could be challenged. | CITATION: ADGM Employment Regulations regarding fair treatment and reasonable employment practices. | SUGGESTION: Add a clause stating that amendments to the Employee Handbook will be reasonable, communicated to the employee in writing, and compliant with ADGM Employment Regulations.]</w:t>
      </w:r>
    </w:p>
    <w:p w14:paraId="1B3F3AC9" w14:textId="77777777" w:rsidR="00BA0DC9" w:rsidRDefault="00BA0DC9" w:rsidP="00BA0DC9">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r>
        <w:br/>
      </w:r>
      <w:r>
        <w:rPr>
          <w:b w:val="0"/>
          <w:i/>
          <w:color w:val="FF8C00"/>
          <w:sz w:val="18"/>
        </w:rPr>
        <w:t>[ADGM REVIEW: ISSUE: Processing error: Response preprocessing failed... | CITATION: ADGM Legal Framework - General Requirements | SUGGESTION: Manual legal review required due to processing error]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r>
        <w:br/>
      </w:r>
      <w:r>
        <w:rPr>
          <w:b w:val="0"/>
          <w:i/>
          <w:color w:val="DAA520"/>
          <w:sz w:val="18"/>
        </w:rPr>
        <w:t>[ADGM REVIEW: ISSUE: The clause grants the Company sole discretion to amend the Employee Handbook. While common, it should be qualified by stating that amendments will be reasonable and compliant with ADGM regulations. Unilateral changes that significantly disadvantage the employee could be challenged. | CITATION: ADGM Employment Regulations regarding fair treatment and reasonable employment practices. | SUGGESTION: Add a clause stating that amendments to the Employee Handbook will be reasonable, communicated to the employee in writing, and compliant with ADGM Employment Regulations.]</w:t>
      </w:r>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r>
        <w:br/>
      </w:r>
      <w:r>
        <w:rPr>
          <w:b w:val="0"/>
          <w:i/>
          <w:color w:val="FF8C00"/>
          <w:sz w:val="18"/>
        </w:rPr>
        <w:t>[ADGM REVIEW: ISSUE: Processing error: Response preprocessing failed... | CITATION: ADGM Legal Framework - General Requirements | SUGGESTION: Manual legal review required due to processing error]</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r>
        <w:br/>
      </w:r>
      <w:r>
        <w:rPr>
          <w:b w:val="0"/>
          <w:i/>
          <w:color w:val="DAA520"/>
          <w:sz w:val="18"/>
        </w:rPr>
        <w:t>[ADGM REVIEW: ISSUE: The clause grants the Company sole discretion to amend the Employee Handbook. While common, it should be qualified by stating that amendments will be reasonable and compliant with ADGM regulations. Unilateral changes that significantly disadvantage the employee could be challenged. | CITATION: ADGM Employment Regulations regarding fair treatment and reasonable employment practices. | SUGGESTION: Add a clause stating that amendments to the Employee Handbook will be reasonable, communicated to the employee in writing, and compliant with ADGM Employment Regulations.]</w:t>
      </w:r>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r>
        <w:br/>
      </w:r>
      <w:r>
        <w:rPr>
          <w:b w:val="0"/>
          <w:i/>
          <w:color w:val="FF8C00"/>
          <w:sz w:val="18"/>
        </w:rPr>
        <w:t>[ADGM REVIEW: ISSUE: Processing error: Response preprocessing failed... | CITATION: ADGM Legal Framework - General Requirements | SUGGESTION: Manual legal review required due to processing error]</w:t>
      </w:r>
    </w:p>
    <w:p w14:paraId="7CC566BB" w14:textId="77777777" w:rsidR="00F95180" w:rsidRDefault="00F95180" w:rsidP="00F95180">
      <w:pPr>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r>
        <w:br/>
      </w:r>
      <w:r>
        <w:rPr>
          <w:b w:val="0"/>
          <w:i/>
          <w:color w:val="FF8C00"/>
          <w:sz w:val="18"/>
        </w:rPr>
        <w:t>[ADGM REVIEW: ISSUE: Processing error: Response preprocessing failed... | CITATION: ADGM Legal Framework - General Requirements | SUGGESTION: Manual legal review required due to processing error]</w:t>
      </w:r>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r>
        <w:br/>
      </w:r>
      <w:r>
        <w:rPr>
          <w:b w:val="0"/>
          <w:i/>
          <w:color w:val="FF8C00"/>
          <w:sz w:val="18"/>
        </w:rPr>
        <w:t>[ADGM REVIEW: ISSUE: Processing error: Response preprocessing failed... | CITATION: ADGM Legal Framework - General Requirements | SUGGESTION: Manual legal review required due to processing error]</w:t>
      </w:r>
    </w:p>
    <w:p w14:paraId="037B6413" w14:textId="2060BCC5" w:rsidR="00637C89" w:rsidRDefault="00637C89" w:rsidP="00637C89">
      <w:pPr>
        <w:pStyle w:val="ListParagraph"/>
        <w:ind w:left="1080"/>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r>
        <w:br/>
      </w:r>
      <w:r>
        <w:rPr>
          <w:b w:val="0"/>
          <w:i/>
          <w:color w:val="FF8C00"/>
          <w:sz w:val="18"/>
        </w:rPr>
        <w:t>[ADGM REVIEW: ISSUE: Processing error: Response preprocessing failed... | CITATION: ADGM Legal Framework - General Requirements | SUGGESTION: Manual legal review required due to processing error]</w:t>
      </w:r>
    </w:p>
    <w:p w14:paraId="54F2DF9A" w14:textId="77777777" w:rsidR="000203D9" w:rsidRDefault="000203D9" w:rsidP="000203D9">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2A154870" w14:textId="48A95CD9" w:rsidR="00975741" w:rsidRDefault="00975741" w:rsidP="003E6989">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r>
        <w:br/>
      </w:r>
      <w:r>
        <w:rPr>
          <w:b w:val="0"/>
          <w:i/>
          <w:color w:val="FF8C00"/>
          <w:sz w:val="18"/>
        </w:rPr>
        <w:t>[ADGM REVIEW: ISSUE: Processing error: Response preprocessing failed... | CITATION: ADGM Legal Framework - General Requirements | SUGGESTION: Manual legal review required due to processing error]</w:t>
      </w:r>
    </w:p>
    <w:p w14:paraId="2A61365C" w14:textId="77777777" w:rsidR="00CB79A4" w:rsidRDefault="00CB79A4" w:rsidP="007A285B">
      <w:pPr>
        <w:pStyle w:val="ListParagraph"/>
        <w:ind w:left="1080"/>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r>
        <w:br/>
      </w:r>
      <w:r>
        <w:rPr>
          <w:b w:val="0"/>
          <w:i/>
          <w:color w:val="FF8C00"/>
          <w:sz w:val="18"/>
        </w:rPr>
        <w:t>[ADGM REVIEW: ISSUE: Processing error: Response preprocessing failed... | CITATION: ADGM Legal Framework - General Requirements | SUGGESTION: Manual legal review required due to processing error]</w:t>
      </w:r>
    </w:p>
    <w:p w14:paraId="01152DAA" w14:textId="77777777" w:rsidR="00173665" w:rsidRDefault="00173665" w:rsidP="00173665">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68F88D75" w14:textId="4CF6019B" w:rsidR="00384C28" w:rsidRDefault="00384C28" w:rsidP="00BE206E">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r>
        <w:br/>
      </w:r>
      <w:r>
        <w:rPr>
          <w:b w:val="0"/>
          <w:i/>
          <w:color w:val="FF8C00"/>
          <w:sz w:val="18"/>
        </w:rPr>
        <w:t>[ADGM REVIEW: ISSUE: Processing error: Response preprocessing failed... | CITATION: ADGM Legal Framework - General Requirements | SUGGESTION: Manual legal review required due to processing error]</w:t>
      </w:r>
    </w:p>
    <w:p w14:paraId="0EEFAF41" w14:textId="77777777" w:rsidR="001B66EF" w:rsidRDefault="001B66EF" w:rsidP="001B66EF">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r>
        <w:br/>
      </w:r>
      <w:r>
        <w:rPr>
          <w:b w:val="0"/>
          <w:i/>
          <w:color w:val="FF8C00"/>
          <w:sz w:val="18"/>
        </w:rPr>
        <w:t>[ADGM REVIEW: ISSUE: Processing error: Response preprocessing failed... | CITATION: ADGM Legal Framework - General Requirements | SUGGESTION: Manual legal review required due to processing error]</w:t>
      </w:r>
    </w:p>
    <w:p w14:paraId="188E193D" w14:textId="77777777" w:rsidR="00803E2B" w:rsidRDefault="00803E2B" w:rsidP="00803E2B">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r>
        <w:br/>
      </w:r>
      <w:r>
        <w:rPr>
          <w:b w:val="0"/>
          <w:i/>
          <w:color w:val="FF8C00"/>
          <w:sz w:val="18"/>
        </w:rPr>
        <w:t>[ADGM REVIEW: ISSUE: Processing error: Response preprocessing failed... | CITATION: ADGM Legal Framework - General Requirements | SUGGESTION: Manual legal review required due to processing error]</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r>
        <w:br/>
      </w:r>
      <w:r>
        <w:rPr>
          <w:b w:val="0"/>
          <w:i/>
          <w:color w:val="FF8C00"/>
          <w:sz w:val="18"/>
        </w:rPr>
        <w:t>[ADGM REVIEW: ISSUE: Processing error: Response preprocessing failed... | CITATION: ADGM Legal Framework - General Requirements | SUGGESTION: Manual legal review required due to processing error]</w:t>
      </w:r>
    </w:p>
    <w:p w14:paraId="174184EC" w14:textId="77777777" w:rsidR="000F07C2" w:rsidRDefault="000F07C2" w:rsidP="000F07C2">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r>
        <w:br/>
      </w:r>
      <w:r>
        <w:rPr>
          <w:b w:val="0"/>
          <w:i/>
          <w:color w:val="FF8C00"/>
          <w:sz w:val="18"/>
        </w:rPr>
        <w:t>[ADGM REVIEW: ISSUE: Processing error: Response preprocessing failed... | CITATION: ADGM Legal Framework - General Requirements | SUGGESTION: Manual legal review required due to processing error]</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r>
        <w:br/>
      </w:r>
      <w:r>
        <w:rPr>
          <w:b w:val="0"/>
          <w:i/>
          <w:color w:val="FF8C00"/>
          <w:sz w:val="18"/>
        </w:rPr>
        <w:t>[ADGM REVIEW: ISSUE: Processing error: Response preprocessing failed... | CITATION: ADGM Legal Framework - General Requirements | SUGGESTION: Manual legal review required due to processing error]</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r>
        <w:br/>
      </w:r>
      <w:r>
        <w:rPr>
          <w:b w:val="0"/>
          <w:i/>
          <w:color w:val="FF8C00"/>
          <w:sz w:val="18"/>
        </w:rPr>
        <w:t>[ADGM REVIEW: ISSUE: Processing error: Response preprocessing failed... | CITATION: ADGM Legal Framework - General Requirements | SUGGESTION: Manual legal review required due to processing error]</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r>
        <w:br/>
      </w:r>
      <w:r>
        <w:rPr>
          <w:b w:val="0"/>
          <w:i/>
          <w:color w:val="FF8C00"/>
          <w:sz w:val="18"/>
        </w:rPr>
        <w:t>[ADGM REVIEW: ISSUE: Processing error: Response preprocessing failed... | CITATION: ADGM Legal Framework - General Requirements | SUGGESTION: Manual legal review required due to processing error]</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r>
        <w:br/>
      </w:r>
      <w:r>
        <w:rPr>
          <w:b w:val="0"/>
          <w:i/>
          <w:color w:val="FF8C00"/>
          <w:sz w:val="18"/>
        </w:rPr>
        <w:t>[ADGM REVIEW: ISSUE: Processing error: Response preprocessing failed... | CITATION: ADGM Legal Framework - General Requirements | SUGGESTION: Manual legal review required due to processing error]</w:t>
      </w:r>
    </w:p>
    <w:p w14:paraId="28A6C684" w14:textId="77777777" w:rsidR="00154ACF" w:rsidRDefault="00154ACF" w:rsidP="007A285B">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r>
        <w:br/>
      </w:r>
      <w:r>
        <w:rPr>
          <w:b w:val="0"/>
          <w:i/>
          <w:color w:val="FF8C00"/>
          <w:sz w:val="18"/>
        </w:rPr>
        <w:t>[ADGM REVIEW: ISSUE: Processing error: Response preprocessing failed... | CITATION: ADGM Legal Framework - General Requirements | SUGGESTION: Manual legal review required due to processing error]</w:t>
      </w:r>
    </w:p>
    <w:p w14:paraId="3329BD09" w14:textId="77777777" w:rsidR="00154ACF" w:rsidRDefault="00154ACF" w:rsidP="007A285B">
      <w:pPr>
        <w:pStyle w:val="ListParagraph"/>
        <w:ind w:left="1080"/>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p>
      <w:pPr>
        <w:spacing w:before="120"/>
      </w:pPr>
      <w:r>
        <w:rPr>
          <w:i/>
          <w:color w:val="696969"/>
          <w:sz w:val="18"/>
        </w:rPr>
        <w:br/>
        <w:t>--- END OF ADGM AUTOMATED REVIEW ---</w:t>
        <w:br/>
        <w:t>DISCLAIMER: This automated review is for guidance only. Please consult qualified ADGM legal counsel for final compliance verification.</w:t>
      </w: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