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20"/>
      </w:pPr>
      <w:r>
        <w:rPr>
          <w:b/>
          <w:color w:val="8B0000"/>
          <w:sz w:val="24"/>
        </w:rPr>
        <w:t>AI SUMMARY</w:t>
      </w:r>
      <w:r>
        <w:t xml:space="preserve">: </w:t>
      </w:r>
      <w:r>
        <w:rPr>
          <w:sz w:val="20"/>
        </w:rPr>
        <w:t>Issues found: 104  (High: 10, Medium: 34, Low: 60)</w:t>
      </w:r>
      <w:r>
        <w:br/>
      </w:r>
      <w:r>
        <w:t xml:space="preserve">Categories: </w:t>
      </w:r>
      <w:r>
        <w:rPr>
          <w:sz w:val="20"/>
        </w:rPr>
        <w:t>content (36), compliance (58), formatting (9), ambiguity (1)</w:t>
      </w:r>
      <w:r>
        <w:br/>
      </w:r>
      <w:r>
        <w:t>Helpful resources:</w:t>
      </w:r>
      <w:r>
        <w:br/>
      </w:r>
      <w:r>
        <w:t xml:space="preserve">- </w:t>
      </w:r>
      <w:r>
        <w:rPr>
          <w:color w:val="0066CC"/>
          <w:u w:val="single"/>
        </w:rPr>
        <w:t>ADGM Guidance &amp; Policy Updates: https://www.adgm.com/legal-framework/guidance-and-policy-statements</w:t>
      </w:r>
      <w:r>
        <w:br/>
      </w:r>
      <w:r>
        <w:t xml:space="preserve">- </w:t>
      </w:r>
      <w:r>
        <w:rPr>
          <w:color w:val="0066CC"/>
          <w:u w:val="single"/>
        </w:rPr>
        <w:t>ADGM Regulatory Updates: https://www.adgm.com/legal-framework/regulations</w:t>
      </w:r>
      <w:r>
        <w:br/>
      </w:r>
      <w:r>
        <w:t xml:space="preserve">- </w:t>
      </w:r>
      <w:r>
        <w:rPr>
          <w:color w:val="0066CC"/>
          <w:u w:val="single"/>
        </w:rPr>
        <w:t>ADGM Latest Templates: https://assets.adgm.com/templates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Legal Writing Guidelines: https://www.adgm.com/legal-framework/guidance-and-policy-statements</w:t>
      </w:r>
      <w:r>
        <w:br/>
      </w:r>
      <w:r>
        <w:t xml:space="preserve">- </w:t>
      </w:r>
      <w:r>
        <w:rPr>
          <w:color w:val="0066CC"/>
          <w:u w:val="single"/>
        </w:rPr>
        <w:t>ADGM Plain Language Guide: https://www.adgm.com/legal-framework/guidance-and-policy-statements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Disclaimer is acceptable but should be reviewed by legal counsel to ensure it accurately reflects the current ADGM Employment Regulations and any internal policies. | CITATION: N/A | SUGGESTION: Consult with legal counsel to validate the disclaimer's accuracy and comprehensiveness.]</w:t>
      </w:r>
      <w:r>
        <w:br/>
      </w:r>
      <w:r>
        <w:rPr>
          <w:b w:val="0"/>
          <w:i/>
          <w:color w:val="DAA520"/>
          <w:sz w:val="18"/>
        </w:rPr>
        <w:t>[ADGM REVIEW: ISSUE: The disclaimer states that the employment contract sets out the *minimum* employment standards applicable in ADGM pursuant to ADGM Employment Regulations of 2024, which may be amended from time to time without notification. While technically correct, this could be interpreted as the employer having no obligation to keep the employee informed of regulatory changes. This is not necessarily non-compliant, but could lead to disputes if the employer fails to update the contract to reflect regulatory changes. | CITATION: ADGM Employment Regulations 2024 (General) | SUGGESTION: Add a clause stating that the employer will notify the employee of any material changes to the ADGM Employment Regulations that affect the terms of their employment.]</w:t>
      </w:r>
    </w:p>
    <w:p>
      <w:pPr>
        <w:spacing w:after="120"/>
      </w:pPr>
      <w:r>
        <w:rPr>
          <w:b/>
          <w:color w:val="00008B"/>
          <w:sz w:val="28"/>
        </w:rPr>
        <w:t>ADGM COMPLIANCE REVIEW - AUTOMATED ANALYSIS</w:t>
      </w:r>
      <w:r>
        <w:rPr>
          <w:sz w:val="20"/>
        </w:rPr>
        <w:t xml:space="preserve"> | Analysis Date: 2025-08-11 19:44</w:t>
      </w:r>
    </w: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br/>
      </w:r>
      <w:r>
        <w:rPr>
          <w:b w:val="0"/>
          <w:i/>
          <w:color w:val="FF8C00"/>
          <w:sz w:val="18"/>
        </w:rPr>
        <w:t>[ADGM REVIEW: ISSUE: Section content is unknown. Instructions for finalizing the contract could potentially conflict with mandatory ADGM employment regulations if they advise on omitting required clauses or altering legally mandated terms. | CITATION: ADGM Employment Regulations 2019, Article 4 | SUGGESTION: Provide the content of Section 2 for review. Ensure instructions align with ADGM regulations and do not encourage non-compliance.]</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r>
        <w:br/>
      </w:r>
      <w:r>
        <w:rPr>
          <w:b w:val="0"/>
          <w:i/>
          <w:color w:val="DAA520"/>
          <w:sz w:val="18"/>
        </w:rPr>
        <w:t>[ADGM REVIEW: ISSUE: This section is a formatting instruction and not a substantive clause. Failure to remove bracketed text and highlights constitutes a formatting error. | CITATION: N/A | SUGGESTION: Ensure all bracketed text and highlights are removed after completing the contract to avoid ambiguity and maintain a professional appearance.]</w:t>
      </w: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r>
        <w:br/>
      </w:r>
      <w:r>
        <w:rPr>
          <w:b w:val="0"/>
          <w:i/>
          <w:color w:val="DAA520"/>
          <w:sz w:val="18"/>
        </w:rPr>
        <w:t>[ADGM REVIEW: ISSUE: This section is a formatting instruction and not a substantive clause. Failure to remove this instruction constitutes a formatting error. | CITATION: N/A | SUGGESTION: Remove this instruction after the contract is finalized.]</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formatting instruction, not a contractual clause. Failure to remove footnotes before signing is a formatting issue, not a compliance issue. | CITATION: N/A | SUGGESTION: Implement a quality control process to ensure footnotes are removed before contract signing.]</w:t>
      </w: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r>
        <w:br/>
      </w:r>
      <w:r>
        <w:rPr>
          <w:b w:val="0"/>
          <w:i/>
          <w:color w:val="FF8C00"/>
          <w:sz w:val="18"/>
        </w:rPr>
        <w:t>[ADGM REVIEW: ISSUE: Section content is unknown. Instructions for the employee before signing could potentially lead to non-compliance if they are incomplete or misleading regarding their rights and obligations under ADGM law. | CITATION: ADGM Employment Regulations 2019, Article 5 | SUGGESTION: Provide the content of Section 3 for review. Ensure it covers all essential aspects of the employment contract and the employee's rights under ADGM law.]</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self-certification statement. It places responsibility on the parties to ensure accuracy. If clauses are added or deleted, cross-references MUST be updated. | CITATION: General contract law principles. | SUGGESTION: Implement a thorough review process to verify the accuracy of all information and cross-references before contract signing.]</w:t>
      </w: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r>
        <w:br/>
      </w:r>
      <w:r>
        <w:rPr>
          <w:b w:val="0"/>
          <w:i/>
          <w:color w:val="DAA520"/>
          <w:sz w:val="18"/>
        </w:rPr>
        <w:t>[ADGM REVIEW: ISSUE: While removing square brackets is generally good practice for a final contract, this instruction alone doesn't guarantee compliance. The content within those brackets is crucial and must adhere to ADGM regulations. | CITATION: N/A | SUGGESTION: Ensure the content previously within the square brackets complies with ADGM regulations before finalizing the contract.]</w:t>
      </w:r>
    </w:p>
    <w:p w14:paraId="47C444E9" w14:textId="77777777" w:rsidR="00E9667C" w:rsidRPr="007A285B" w:rsidRDefault="00E9667C" w:rsidP="00E9667C">
      <w:pPr>
        <w:pStyle w:val="ListParagraph"/>
        <w:rPr>
          <w:rFonts w:cstheme="minorHAnsi"/>
          <w:b/>
          <w:bCs/>
          <w:color w:val="FF0000"/>
        </w:rPr>
      </w:pPr>
      <w:r>
        <w:br/>
      </w:r>
      <w:r>
        <w:rPr>
          <w:b/>
          <w:i/>
          <w:color w:val="DC143C"/>
          <w:sz w:val="18"/>
          <w:highlight w:val="yellow"/>
        </w:rPr>
        <w:t>[ADGM REVIEW: ISSUE: Instructing the deletion of an entire page raises concerns. The content of this page is unknown, and deleting it could remove essential information or clauses required by ADGM regulations. | CITATION: ADGM Employment Regulations 2019, Article 4 | SUGGESTION: Determine the content of Section 5 and assess whether its deletion would violate any ADGM regulations. If the content is not relevant, ensure no mandatory information is lost.]</w:t>
      </w: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r>
        <w:br/>
      </w:r>
      <w:r>
        <w:rPr>
          <w:b w:val="0"/>
          <w:i/>
          <w:color w:val="DAA520"/>
          <w:sz w:val="18"/>
        </w:rPr>
        <w:t>[ADGM REVIEW: ISSUE: The instruction to insert the date is standard, but the absence of a specific format requirement could lead to inconsistencies. While not a direct compliance issue, standardization is recommended. | CITATION: N/A | SUGGESTION: Specify a date format (e.g., DD/MM/YYYY) to ensure consistency across all employment contracts.]</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br/>
      </w:r>
      <w:r>
        <w:rPr>
          <w:b w:val="0"/>
          <w:i/>
          <w:color w:val="FF8C00"/>
          <w:sz w:val="18"/>
        </w:rPr>
        <w:t>[ADGM REVIEW: ISSUE: The section title 'DEFINITIONS AND INTERPRETATION' is standard, but the lack of content makes it impossible to assess compliance. This section is crucial for clarifying key terms and avoiding ambiguity, which is important for ADGM compliance. | CITATION: ADGM Employment Regulations 2019, Article 4 | SUGGESTION: Provide the content of the 'DEFINITIONS AND INTERPRETATION' section for review. Ensure all key terms are clearly defined and aligned with ADGM regulations.]</w:t>
      </w: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r>
        <w:br/>
      </w:r>
      <w:r>
        <w:rPr>
          <w:b w:val="0"/>
          <w:i/>
          <w:color w:val="FF8C00"/>
          <w:sz w:val="18"/>
        </w:rPr>
        <w:t>[ADGM REVIEW: ISSUE: The section title 'CONFIDENTIALITY/NON-DISCLOSURE' is standard, but the lack of content makes it impossible to assess compliance. The scope and enforceability of confidentiality clauses must comply with ADGM regulations and not unduly restrict employee rights. | CITATION: ADGM Employment Regulations 2019, Article 4 | SUGGESTION: Provide the content of the 'CONFIDENTIALITY/NON-DISCLOSURE' section for review. Ensure it complies with ADGM regulations regarding employee rights and reasonable restrictions on future employment.]</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br/>
      </w:r>
      <w:r>
        <w:rPr>
          <w:b/>
          <w:i/>
          <w:color w:val="DC143C"/>
          <w:sz w:val="18"/>
          <w:highlight w:val="yellow"/>
        </w:rPr>
        <w:t>[ADGM REVIEW: ISSUE: End of Service Benefits must comply with ADGM Employment Regulations regarding calculation and payment timelines. | CITATION: ADGM Employment Regulations 2024, Part 7 | SUGGESTION: Ensure the contract explicitly outlines the calculation method for End of Service Benefits, adhering to ADGM regulations. Specify payment timelines upon termination.]</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r>
        <w:br/>
      </w:r>
      <w:r>
        <w:rPr>
          <w:b w:val="0"/>
          <w:i/>
          <w:color w:val="FF8C00"/>
          <w:sz w:val="18"/>
        </w:rPr>
        <w:t>[ADGM REVIEW: ISSUE: Schedule A should include all mandatory employment terms as per ADGM regulations. | CITATION: ADGM Employment Regulations 2024, Regulation 8 | SUGGESTION: Verify that Schedule A contains all required information, including job title, description, start date, working hours, remuneration, benefits, probation period (if any), notice period, and confidentiality clauses.]</w:t>
      </w:r>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r>
        <w:br/>
      </w:r>
      <w:r>
        <w:rPr>
          <w:b w:val="0"/>
          <w:i/>
          <w:color w:val="DAA520"/>
          <w:sz w:val="18"/>
        </w:rPr>
        <w:t>[ADGM REVIEW: ISSUE: No issues found | CITATION: N/A | SUGGESTION: N/A]</w:t>
      </w:r>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N/A | SUGGESTION: N/A]</w:t>
      </w:r>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N/A | SUGGESTION: N/A]</w:t>
      </w:r>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ADGM Companies Regulations 2020 | SUGGESTION: Document appears compliant]</w:t>
      </w:r>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r>
        <w:br/>
      </w:r>
      <w:r>
        <w:rPr>
          <w:b w:val="0"/>
          <w:i/>
          <w:color w:val="DAA520"/>
          <w:sz w:val="18"/>
        </w:rPr>
        <w:t>[ADGM REVIEW: ISSUE: No issues found | CITATION: ADGM Companies Regulations 2020 | SUGGESTION: Document appears compliant]</w:t>
      </w:r>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N/A | SUGGESTION: N/A]</w:t>
      </w:r>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N/A | SUGGESTION: N/A]</w:t>
      </w:r>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The definition of 'Basic Wage' should be clear and compliant with ADGM regulations, excluding allowances unless explicitly stated. | CITATION: ADGM Employment Regulations 2024, Regulation 3 | SUGGESTION: Ensure the definition of 'Basic Wage' aligns with ADGM regulations and clearly specifies what components are included or excluded.]</w:t>
      </w:r>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ADGM Companies Regulations 2020 | SUGGESTION: Document appears compliant]</w:t>
      </w:r>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r>
        <w:br/>
      </w:r>
      <w:r>
        <w:rPr>
          <w:b w:val="0"/>
          <w:i/>
          <w:color w:val="DAA520"/>
          <w:sz w:val="18"/>
        </w:rPr>
        <w:t>[ADGM REVIEW: ISSUE: Definition of "UAE" is standard but lacks specific context within ADGM. While not strictly an issue, consider if it's necessary within the ADGM context. | CITATION: N/A | SUGGESTION: Consider removing if the definition is not directly relevant to ADGM-specific clauses.]</w:t>
      </w:r>
    </w:p>
    <w:p w14:paraId="031CEDB9" w14:textId="77777777" w:rsidR="00612794" w:rsidRPr="00612794" w:rsidRDefault="00612794" w:rsidP="00612794">
      <w:r>
        <w:br/>
      </w:r>
      <w:r>
        <w:rPr>
          <w:b w:val="0"/>
          <w:i/>
          <w:color w:val="FF8C00"/>
          <w:sz w:val="18"/>
        </w:rPr>
        <w:t>[ADGM REVIEW: ISSUE: Definition of "Wages" referring to clause 6.2 is acceptable but depends on the content of clause 6.2. Ensure clause 6.2 comprehensively covers all aspects of wages as defined under ADGM Employment Regulations. | CITATION: ADGM Employment Regulations | SUGGESTION: Review clause 6.2 to ensure it aligns with ADGM's definition of wages, including all components and payment methods.]</w:t>
      </w:r>
    </w:p>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val="0"/>
          <w:i/>
          <w:color w:val="DAA520"/>
          <w:sz w:val="18"/>
        </w:rPr>
        <w:t>[ADGM REVIEW: ISSUE: No issues found | CITATION: N/A | SUGGESTION: N/A]</w:t>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r>
        <w:br/>
      </w:r>
      <w:r>
        <w:rPr>
          <w:b w:val="0"/>
          <w:i/>
          <w:color w:val="DAA520"/>
          <w:sz w:val="18"/>
        </w:rPr>
        <w:t>[ADGM REVIEW: ISSUE: No issues found | CITATION: N/A | SUGGESTION: N/A]</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val="0"/>
          <w:i/>
          <w:color w:val="DAA520"/>
          <w:sz w:val="18"/>
        </w:rPr>
        <w:t>[ADGM REVIEW: ISSUE: No issues found | CITATION: N/A | SUGGESTION: N/A]</w:t>
      </w:r>
    </w:p>
    <w:p w14:paraId="4B21C352" w14:textId="77777777" w:rsidR="00E52C17" w:rsidRPr="00F51864" w:rsidRDefault="00E52C17" w:rsidP="00E52C17">
      <w:pPr>
        <w:pStyle w:val="ListParagraph"/>
        <w:ind w:left="360"/>
        <w:jc w:val="both"/>
        <w:rPr>
          <w:rFonts w:cstheme="minorHAnsi"/>
          <w:bCs/>
        </w:rPr>
      </w:pPr>
      <w:r>
        <w:br/>
      </w:r>
      <w:r>
        <w:rPr>
          <w:b w:val="0"/>
          <w:i/>
          <w:color w:val="DAA520"/>
          <w:sz w:val="18"/>
        </w:rPr>
        <w:t>[ADGM REVIEW: ISSUE: No issues found | CITATION: N/A | SUGGESTION: N/A]</w:t>
      </w: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r>
        <w:br/>
      </w:r>
      <w:r>
        <w:rPr>
          <w:b w:val="0"/>
          <w:i/>
          <w:color w:val="FF8C00"/>
          <w:sz w:val="18"/>
        </w:rPr>
        <w:t>[ADGM REVIEW: ISSUE: The contract should explicitly state the conditions and procedures for termination, including notice periods, in accordance with ADGM Employment Regulations. | CITATION: ADGM Employment Regulations | SUGGESTION: Include specific clauses detailing termination procedures, notice periods (as per ADGM regulations), and grounds for termination.]</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r>
        <w:br/>
      </w:r>
      <w:r>
        <w:rPr>
          <w:b w:val="0"/>
          <w:i/>
          <w:color w:val="FF8C00"/>
          <w:sz w:val="18"/>
        </w:rPr>
        <w:t>[ADGM REVIEW: ISSUE: Automatic renewal clause may not be fully compliant. ADGM Employment Regulations require clarity and mutual agreement on contract renewals. The clause should explicitly state the employee's right to refuse renewal and the process for doing so. | CITATION: ADGM Employment Regulations, Article 15 (Contract Renewal) | SUGGESTION: Revise the automatic renewal clause to include a mechanism for the employee to opt-out of the renewal and ensure mutual agreement is documented.]</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r>
        <w:br/>
      </w:r>
      <w:r>
        <w:rPr>
          <w:b w:val="0"/>
          <w:i/>
          <w:color w:val="DAA520"/>
          <w:sz w:val="18"/>
        </w:rPr>
        <w:t>[ADGM REVIEW: ISSUE: No issues found | CITATION: N/A | SUGGESTION: N/A]</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r>
        <w:br/>
      </w:r>
      <w:r>
        <w:rPr>
          <w:b w:val="0"/>
          <w:i/>
          <w:color w:val="FF8C00"/>
          <w:sz w:val="18"/>
        </w:rPr>
        <w:t>[ADGM REVIEW: ISSUE: Working hours should comply with ADGM Employment Regulations. The contract should specify break times and any limitations on working hours as per ADGM regulations. | CITATION: ADGM Employment Regulations, specifically regarding working hours and rest periods. | SUGGESTION: Include specific details about break times and ensure compliance with maximum working hour limits as defined by ADGM Employment Regulations.]</w:t>
      </w: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If the employee is not eligible for overtime, the contract should clearly state the reasons and the basis for this exclusion, referencing relevant ADGM regulations if applicable. | CITATION: ADGM Employment Regulations regarding overtime pay and exemptions. | SUGGESTION: Clarify the criteria for overtime eligibility and provide justification for excluding the employee, referencing specific ADGM regulations if applicable.]</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If the employee is eligible for overtime, the 'Company policy regarding overtime' should be readily available and transparent to the employee. The policy should comply with ADGM regulations. | CITATION: ADGM Employment Regulations regarding overtime compensation. | SUGGESTION: Ensure the Company's overtime policy is clearly defined, accessible to the employee, and compliant with ADGM regulations regarding overtime pay rates and limitations.]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The probationary period dismissal clause should be reviewed to ensure it aligns with ADGM Employment Regulations regarding fair dismissal and notice periods. While dismissal without cause is permitted, the one-week notice period should be carefully considered in light of ADGM regulations. | CITATION: ADGM Employment Regulations regarding termination of employment and notice periods. | SUGGESTION: Review the probationary period dismissal clause to ensure compliance with ADGM regulations regarding fair dismissal and notice periods. Consider providing a longer notice period or compensation in lieu of notice to mitigate potential disputes.]</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r>
        <w:br/>
      </w:r>
      <w:r>
        <w:rPr>
          <w:b w:val="0"/>
          <w:i/>
          <w:color w:val="DAA520"/>
          <w:sz w:val="18"/>
        </w:rPr>
        <w:t>[ADGM REVIEW: ISSUE: No issues found | CITATION: N/A | SUGGESTION: N/A]</w:t>
      </w: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r>
        <w:br/>
      </w:r>
      <w:r>
        <w:rPr>
          <w:b w:val="0"/>
          <w:i/>
          <w:color w:val="DAA520"/>
          <w:sz w:val="18"/>
        </w:rPr>
        <w:t>[ADGM REVIEW: ISSUE: No issues found | CITATION: N/A | SUGGESTION: N/A]</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regulations concerning permissible deductions from wages. | SUGGESTION: Explicitly list the permissible deductions from wages as defined by ADGM Employment Regulations. For example, deductions for social security contributions, authorized loan repayments, or court orders.]</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r>
        <w:br/>
      </w:r>
      <w:r>
        <w:rPr>
          <w:b w:val="0"/>
          <w:i/>
          <w:color w:val="FF8C00"/>
          <w:sz w:val="18"/>
        </w:rPr>
        <w:t>[ADGM REVIEW: ISSUE: Statement that 'The Wages is inclusive of allowances' is vague. It needs to be explicitly stated which allowances are included and how they comply with ADGM regulations regarding mandatory allowances (if any). | CITATION: ADGM Employment Regulations | SUGGESTION: Specify all allowances included in the wages and ensure compliance with ADGM regulations regarding mandatory allowances.]</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r>
        <w:br/>
      </w:r>
      <w:r>
        <w:rPr>
          <w:b/>
          <w:i/>
          <w:color w:val="DC143C"/>
          <w:sz w:val="18"/>
          <w:highlight w:val="yellow"/>
        </w:rPr>
        <w:t>[ADGM REVIEW: ISSUE: Basic wage amount is a placeholder. Ensure the amount complies with any minimum wage requirements stipulated by ADGM Employment Regulations (if any). | CITATION: ADGM Employment Regulations | SUGGESTION: Verify the basic wage meets any minimum wage requirements under ADGM Employment Regulations.]</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DAA520"/>
          <w:sz w:val="18"/>
        </w:rPr>
        <w:t>[ADGM REVIEW: ISSUE: Accommodation allowance amount is a placeholder. Ensure this allowance complies with ADGM regulations and is clearly defined in terms of eligibility and usage. | CITATION: ADGM Employment Regulations | SUGGESTION: Verify the accommodation allowance complies with ADGM regulations and clearly define its terms.]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r>
        <w:br/>
      </w:r>
      <w:r>
        <w:rPr>
          <w:b w:val="0"/>
          <w:i/>
          <w:color w:val="DAA520"/>
          <w:sz w:val="18"/>
        </w:rPr>
        <w:t>[ADGM REVIEW: ISSUE: Transportation allowance amount is a placeholder. Ensure this allowance complies with ADGM regulations and is clearly defined in terms of eligibility and usage. | CITATION: ADGM Employment Regulations | SUGGESTION: Verify the transportation allowance complies with ADGM regulations and clearly define its terms.]</w:t>
      </w:r>
    </w:p>
    <w:p w14:paraId="74D20FB5" w14:textId="77777777" w:rsidR="00CE2E2A" w:rsidRDefault="00CE2E2A" w:rsidP="00CE2E2A">
      <w:pPr>
        <w:rPr>
          <w:lang w:eastAsia="ko-KR"/>
        </w:rPr>
      </w:pPr>
      <w:r>
        <w:br/>
      </w:r>
      <w:r>
        <w:rPr>
          <w:b w:val="0"/>
          <w:i/>
          <w:color w:val="FF8C00"/>
          <w:sz w:val="18"/>
        </w:rPr>
        <w:t>[ADGM REVIEW: ISSUE: Payment date and method are placeholders. Ensure the payment date complies with ADGM regulations regarding payment frequency. Bank credit transfer is acceptable, but ensure it's compliant with ADGM's requirements for wage payment. | CITATION: ADGM Employment Regulations | SUGGESTION: Verify payment frequency and method comply with ADGM Employment Regulations.]</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r>
        <w:br/>
      </w:r>
      <w:r>
        <w:rPr>
          <w:b w:val="0"/>
          <w:i/>
          <w:color w:val="FF8C00"/>
          <w:sz w:val="18"/>
        </w:rPr>
        <w:t>[ADGM REVIEW: ISSUE: The clause states the company will provide a pay statement but doesn't specify the required contents as per ADGM regulations. | CITATION: ADGM Employment Regulations concerning the required contents of pay statements. | SUGGESTION: Specify the required contents of the pay statement as mandated by ADGM Employment Regulations, including gross wages, deductions, net wages, and the period for which payment is made.]</w:t>
      </w:r>
    </w:p>
    <w:p w14:paraId="29555FAD" w14:textId="77777777" w:rsidR="00CE2E2A" w:rsidRDefault="00CE2E2A" w:rsidP="00CE2E2A">
      <w:pPr>
        <w:pStyle w:val="ListParagraph"/>
        <w:jc w:val="both"/>
        <w:rPr>
          <w:lang w:eastAsia="ko-KR"/>
        </w:rPr>
      </w:pPr>
      <w:r>
        <w:br/>
      </w:r>
      <w:r>
        <w:rPr>
          <w:b w:val="0"/>
          <w:i/>
          <w:color w:val="DAA520"/>
          <w:sz w:val="18"/>
        </w:rPr>
        <w:t>[ADGM REVIEW: ISSUE: Statement regarding 'the amount of the Wages payable' is too general. It needs to be linked to a specific clause detailing how wages are calculated, including deductions and overtime (if applicable). | CITATION: ADGM Employment Regulations | SUGGESTION: Link this statement to a clause that comprehensively explains wage calculation, deductions, and overtime pay.]</w:t>
      </w: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r>
        <w:br/>
      </w:r>
      <w:r>
        <w:rPr>
          <w:b w:val="0"/>
          <w:i/>
          <w:color w:val="FF8C00"/>
          <w:sz w:val="18"/>
        </w:rPr>
        <w:t>[ADGM REVIEW: ISSUE: The section lacks detail regarding permissible deductions. ADGM regulations specify allowable deductions. | CITATION: ADGM Employment Regulations 2019, specifically regarding permissible deductions from wages. | SUGGESTION: Specify all permissible deductions according to ADGM regulations, including any required approvals or limitations.]</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r>
        <w:br/>
      </w:r>
      <w:r>
        <w:rPr>
          <w:b w:val="0"/>
          <w:i/>
          <w:color w:val="FF8C00"/>
          <w:sz w:val="18"/>
        </w:rPr>
        <w:t>[ADGM REVIEW: ISSUE: The contract specifies 20 days of vacation leave. ADGM Employment Regulations Article 25 specifies a minimum of 20 working days. | CITATION: ADGM Employment Regulations Article 25 | SUGGESTION: Ensure the vacation leave entitlement meets the minimum requirement of 20 working days as stipulated in the ADGM Employment Regulations.]</w:t>
      </w:r>
    </w:p>
    <w:p w14:paraId="3ADF1F22" w14:textId="77777777" w:rsidR="00D250E4" w:rsidRDefault="00D250E4" w:rsidP="00D250E4">
      <w:pPr>
        <w:pStyle w:val="ListParagraph"/>
        <w:rPr>
          <w:lang w:eastAsia="ko-KR"/>
        </w:rPr>
      </w:pPr>
      <w:r>
        <w:br/>
      </w:r>
      <w:r>
        <w:rPr>
          <w:b w:val="0"/>
          <w:i/>
          <w:color w:val="FF8C00"/>
          <w:sz w:val="18"/>
        </w:rPr>
        <w:t>[ADGM REVIEW: ISSUE: The clause gives the Company complete discretion over vacation leave timing. This may conflict with employee rights to take leave. | CITATION: ADGM Employment Regulations 2019, regarding employee rights to annual leave and employer obligations. | SUGGESTION: Add language ensuring reasonable consideration of employee preferences and compliance with minimum leave entitlements under ADGM law.]</w:t>
      </w: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r>
        <w:br/>
      </w:r>
      <w:r>
        <w:rPr>
          <w:b w:val="0"/>
          <w:i/>
          <w:color w:val="DAA520"/>
          <w:sz w:val="18"/>
        </w:rPr>
        <w:t>[ADGM REVIEW: ISSUE: No issues found | CITATION: N/A | SUGGESTION: N/A]</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br/>
      </w:r>
      <w:r>
        <w:rPr>
          <w:b w:val="0"/>
          <w:i/>
          <w:color w:val="FF8C00"/>
          <w:sz w:val="18"/>
        </w:rPr>
        <w:t>[ADGM REVIEW: ISSUE: This section is too vague. It needs to specify the obligations of both parties upon termination, including notice periods, final payments, and return of company property. | CITATION: ADGM Employment Regulations 2019, regarding termination of employment and associated obligations. | SUGGESTION: Detail the specific procedures and entitlements related to termination, including notice periods, severance pay (if applicable), and final settlement of dues, in accordance with ADGM regulations.]</w:t>
      </w:r>
    </w:p>
    <w:p w14:paraId="53979BA4" w14:textId="77777777" w:rsidR="00CE2E2A" w:rsidRDefault="00CE2E2A" w:rsidP="00CE2E2A">
      <w:pPr>
        <w:pStyle w:val="ListParagraph"/>
        <w:rPr>
          <w:lang w:eastAsia="ko-KR"/>
        </w:rPr>
      </w:pPr>
      <w:r>
        <w:br/>
      </w:r>
      <w:r>
        <w:rPr>
          <w:b w:val="0"/>
          <w:i/>
          <w:color w:val="DAA520"/>
          <w:sz w:val="18"/>
        </w:rPr>
        <w:t>[ADGM REVIEW: ISSUE: No issues found | CITATION: ADGM Companies Regulations 2020 | SUGGESTION: Document appears compliant]</w:t>
      </w: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r>
        <w:br/>
      </w:r>
      <w:r>
        <w:rPr>
          <w:b w:val="0"/>
          <w:i/>
          <w:color w:val="DAA520"/>
          <w:sz w:val="18"/>
        </w:rPr>
        <w:t>[ADGM REVIEW: ISSUE: No issues found | CITATION: ADGM Companies Regulations 2020 | SUGGESTION: Document appears compliant]</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r>
        <w:br/>
      </w:r>
      <w:r>
        <w:rPr>
          <w:b w:val="0"/>
          <w:i/>
          <w:color w:val="DAA520"/>
          <w:sz w:val="18"/>
        </w:rPr>
        <w:t>[ADGM REVIEW: ISSUE: No issues found | CITATION: ADGM Companies Regulations 2020 | SUGGESTION: Document appears compliant]</w:t>
      </w: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r>
        <w:br/>
      </w:r>
      <w:r>
        <w:rPr>
          <w:b w:val="0"/>
          <w:i/>
          <w:color w:val="DAA520"/>
          <w:sz w:val="18"/>
        </w:rPr>
        <w:t>[ADGM REVIEW: ISSUE: The sick pay entitlement aligns with the ADGM Employment Regulations Article 29. | CITATION: ADGM Employment Regulations Article 29 | SUGGESTION: N/A]</w:t>
      </w:r>
    </w:p>
    <w:p w14:paraId="4F6E8EC3" w14:textId="77777777" w:rsidR="00CE2E2A" w:rsidRDefault="00CE2E2A" w:rsidP="00CE2E2A">
      <w:pPr>
        <w:rPr>
          <w:lang w:eastAsia="ko-KR"/>
        </w:rPr>
      </w:pPr>
      <w:r>
        <w:br/>
      </w:r>
      <w:r>
        <w:rPr>
          <w:b w:val="0"/>
          <w:i/>
          <w:color w:val="DAA520"/>
          <w:sz w:val="18"/>
        </w:rPr>
        <w:t>[ADGM REVIEW: ISSUE: No issues found | CITATION: ADGM Companies Regulations 2020 | SUGGESTION: Document appears compliant]</w:t>
      </w: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r>
        <w:br/>
      </w:r>
      <w:r>
        <w:rPr>
          <w:b w:val="0"/>
          <w:i/>
          <w:color w:val="DAA520"/>
          <w:sz w:val="18"/>
        </w:rPr>
        <w:t>[ADGM REVIEW: ISSUE: The requirement for a medical opinion every 7 days during sick leave is permissible under ADGM regulations but should be applied reasonably. | CITATION: ADGM Employment Regulations Article 29 | SUGGESTION: Consider adding language to ensure the requirement for medical opinions is applied reasonably and does not unduly burden the employee.]</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r>
        <w:br/>
      </w:r>
      <w:r>
        <w:rPr>
          <w:b w:val="0"/>
          <w:i/>
          <w:color w:val="DAA520"/>
          <w:sz w:val="18"/>
        </w:rPr>
        <w:t>[ADGM REVIEW: ISSUE: No issues found | CITATION: N/A | SUGGESTION: N/A]</w:t>
      </w:r>
    </w:p>
    <w:p w14:paraId="1B3F3AC9" w14:textId="77777777" w:rsidR="00BA0DC9" w:rsidRDefault="00BA0DC9" w:rsidP="00BA0DC9">
      <w:pPr>
        <w:pStyle w:val="ListParagraph"/>
        <w:rPr>
          <w:lang w:eastAsia="ko-KR"/>
        </w:rPr>
      </w:pPr>
      <w:r>
        <w:br/>
      </w:r>
      <w:r>
        <w:rPr>
          <w:b w:val="0"/>
          <w:i/>
          <w:color w:val="DAA520"/>
          <w:sz w:val="18"/>
        </w:rPr>
        <w:t>[ADGM REVIEW: ISSUE: While mentioning statutory maternity leave is good, the contract should explicitly state the duration and pay entitlements as per ADGM regulations. | CITATION: ADGM Employment Regulations 2019, regarding maternity leave and pay. | SUGGESTION: Specify the exact duration of maternity leave and the percentage of salary to be paid during the leave, as mandated by ADGM law.]</w:t>
      </w: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r>
        <w:br/>
      </w:r>
      <w:r>
        <w:rPr>
          <w:b w:val="0"/>
          <w:i/>
          <w:color w:val="DAA520"/>
          <w:sz w:val="18"/>
        </w:rPr>
        <w:t>[ADGM REVIEW: ISSUE: Similar to maternity leave, the contract should explicitly state the duration and pay entitlements for paternity leave as per ADGM regulations. | CITATION: ADGM Employment Regulations 2019, regarding paternity leave and pay. | SUGGESTION: Specify the exact duration of paternity leave and the percentage of salary to be paid during the leave, as mandated by ADGM law.]</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r>
        <w:br/>
      </w:r>
      <w:r>
        <w:rPr>
          <w:b w:val="0"/>
          <w:i/>
          <w:color w:val="FF8C00"/>
          <w:sz w:val="18"/>
        </w:rPr>
        <w:t>[ADGM REVIEW: ISSUE: Employee Handbook amendments at the sole discretion of the company may not be compliant if they contradict ADGM regulations or significantly disadvantage the employee. | CITATION: ADGM Employment Regulations | SUGGESTION: Clarify that amendments to the Employee Handbook will not contravene ADGM Employment Regulations or significantly disadvantage the employee without proper consultation and agreement where required by law.]</w:t>
      </w:r>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br/>
      </w:r>
      <w:r>
        <w:rPr>
          <w:b w:val="0"/>
          <w:i/>
          <w:color w:val="DAA520"/>
          <w:sz w:val="18"/>
        </w:rPr>
        <w:t>[ADGM REVIEW: ISSUE: No issues found | CITATION: ADGM Companies Regulations 2020 | SUGGESTION: Document appears compliant]</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r>
        <w:br/>
      </w:r>
      <w:r>
        <w:rPr>
          <w:b w:val="0"/>
          <w:i/>
          <w:color w:val="DAA520"/>
          <w:sz w:val="18"/>
        </w:rPr>
        <w:t>[ADGM REVIEW: ISSUE: No issues found | CITATION: N/A | SUGGESTION: N/A]</w:t>
      </w:r>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br/>
      </w:r>
      <w:r>
        <w:rPr>
          <w:b w:val="0"/>
          <w:i/>
          <w:color w:val="FF8C00"/>
          <w:sz w:val="18"/>
        </w:rPr>
        <w:t>[ADGM REVIEW: ISSUE: Reference to Employee Handbook without specifying its accessibility and compliance with ADGM Employment Regulations. The statement 'These rules and procedures do not form part of the Contract' could be problematic if the handbook contains terms that should be part of the contract. | CITATION: ADGM Employment Regulations, particularly those related to transparency and accessibility of employment terms. | SUGGESTION: Ensure the Employee Handbook is readily accessible to employees and that key terms are incorporated directly into the employment contract or explicitly referenced as binding. Review the handbook to ensure compliance with ADGM Employment Regulations.]</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br/>
      </w:r>
      <w:r>
        <w:rPr>
          <w:b w:val="0"/>
          <w:i/>
          <w:color w:val="FF8C00"/>
          <w:sz w:val="18"/>
        </w:rPr>
        <w:t>[ADGM REVIEW: ISSUE: The clause regarding intellectual property assignment may be overly broad. It should be clarified that the company's ownership extends only to inventions directly related to the company's business and made during the course of employment. | CITATION: General principles of intellectual property law and fairness in employment contracts. | SUGGESTION: Narrow the scope of the intellectual property assignment clause to cover only inventions, discoveries, etc., that are directly related to the company's business and made during the course of employment. Consider adding a clause addressing pre-existing intellectual property.]</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DAA520"/>
          <w:sz w:val="18"/>
        </w:rPr>
        <w:t>[ADGM REVIEW: ISSUE: No issues found | CITATION: N/A | SUGGESTION: N/A]</w:t>
      </w:r>
    </w:p>
    <w:p w14:paraId="7CC566BB" w14:textId="77777777" w:rsidR="00F95180" w:rsidRDefault="00F95180" w:rsidP="00F95180">
      <w:pPr>
        <w:rPr>
          <w:lang w:eastAsia="ko-KR"/>
        </w:rPr>
      </w:pPr>
      <w:r>
        <w:br/>
      </w:r>
      <w:r>
        <w:rPr>
          <w:b/>
          <w:i/>
          <w:color w:val="DC143C"/>
          <w:sz w:val="18"/>
          <w:highlight w:val="yellow"/>
        </w:rPr>
        <w:t>[ADGM REVIEW: ISSUE: The clause refers to clause 11.1 without providing context. The enforceability of this clause depends on the content of clause 11.1, which is unknown. This could be a waiver of rights, which may not be permissible under ADGM law. | CITATION: ADGM Employment Regulations regarding waiver of employee rights. | SUGGESTION: Provide the full text of clause 11.1 for review. Ensure that any waiver of rights is compliant with ADGM Employment Regulations and does not violate mandatory provisions.]</w:t>
      </w: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r>
        <w:br/>
      </w:r>
      <w:r>
        <w:rPr>
          <w:b w:val="0"/>
          <w:i/>
          <w:color w:val="DAA520"/>
          <w:sz w:val="18"/>
        </w:rPr>
        <w:t>[ADGM REVIEW: ISSUE: The non-compete clause during employment is generally acceptable but should be reviewed for reasonableness in scope and duration. | CITATION: General principles of contract law regarding restraint of trade. | SUGGESTION: Ensure the scope of the non-compete clause is clearly defined and directly related to the company's business interests. Review for reasonableness.]</w:t>
      </w: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r>
        <w:br/>
      </w:r>
      <w:r>
        <w:rPr>
          <w:b/>
          <w:i/>
          <w:color w:val="DC143C"/>
          <w:sz w:val="18"/>
          <w:highlight w:val="yellow"/>
        </w:rPr>
        <w:t>[ADGM REVIEW: ISSUE: Non-compete clause extending to the entire UAE may be overly broad and unenforceable under ADGM Employment Regulations. Restrictions must be reasonable in scope, duration, and geographical area. | CITATION: ADGM Employment Regulations, Article 20 (Non-Competition) | SUGGESTION: Narrow the scope of the non-compete clause to a specific geographical area within ADGM or a defined client base, and ensure the duration (6 months) is justifiable and reasonable.]</w:t>
      </w:r>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Customer non-solicitation clause extending to the entire UAE may be overly broad. Similar to the non-compete clause, restrictions must be reasonable. | CITATION: ADGM Employment Regulations, Article 20 (Non-Competition) - principles apply by analogy | SUGGESTION: Limit the non-solicitation clause to customers or prospective customers within ADGM or those directly managed by the employee. Justify the 1-year duration.]</w:t>
      </w:r>
    </w:p>
    <w:p w14:paraId="037B6413" w14:textId="2060BCC5" w:rsidR="00637C89" w:rsidRDefault="00637C89" w:rsidP="00637C89">
      <w:pPr>
        <w:pStyle w:val="ListParagraph"/>
        <w:ind w:left="1080"/>
        <w:jc w:val="both"/>
        <w:rPr>
          <w:lang w:eastAsia="ko-KR"/>
        </w:rPr>
      </w:pPr>
      <w:r>
        <w:br/>
      </w:r>
      <w:r>
        <w:rPr>
          <w:b w:val="0"/>
          <w:i/>
          <w:color w:val="FF8C00"/>
          <w:sz w:val="18"/>
        </w:rPr>
        <w:t>[ADGM REVIEW: ISSUE: The one-year non-solicitation clause after termination requires careful review for reasonableness, particularly regarding its geographic scope (UAE). | CITATION: General principles of contract law regarding restraint of trade. ADGM Employment Regulations regarding fair employment practices. | SUGGESTION: Justify the one-year duration and the UAE-wide scope of the non-solicitation clause. Consider narrowing the scope to specific clients or employees and a shorter duration if possible. Ensure this is justifiable based on the employee's role and access to sensitive information.]</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DAA520"/>
          <w:sz w:val="18"/>
        </w:rPr>
        <w:t>[ADGM REVIEW: ISSUE: No issues found | CITATION: N/A | SUGGESTION: N/A]</w:t>
      </w:r>
    </w:p>
    <w:p w14:paraId="54F2DF9A" w14:textId="77777777" w:rsidR="000203D9" w:rsidRDefault="000203D9" w:rsidP="000203D9">
      <w:pPr>
        <w:pStyle w:val="ListParagraph"/>
        <w:rPr>
          <w:lang w:eastAsia="ko-KR"/>
        </w:rPr>
      </w:pPr>
      <w:r>
        <w:br/>
      </w:r>
      <w:r>
        <w:rPr>
          <w:b w:val="0"/>
          <w:i/>
          <w:color w:val="DAA520"/>
          <w:sz w:val="18"/>
        </w:rPr>
        <w:t>[ADGM REVIEW: ISSUE: Confidentiality clause is generally acceptable but should be reviewed to ensure it aligns with ADGM data protection regulations and employee rights to disclose information as required by law. | CITATION: ADGM Data Protection Regulations | SUGGESTION: Add a clause clarifying that the confidentiality obligations do not prevent the employee from reporting illegal or unethical conduct as required by law.]</w:t>
      </w: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r>
        <w:br/>
      </w:r>
      <w:r>
        <w:rPr>
          <w:b w:val="0"/>
          <w:i/>
          <w:color w:val="DAA520"/>
          <w:sz w:val="18"/>
        </w:rPr>
        <w:t>[ADGM REVIEW: ISSUE: No issues found | CITATION: N/A | SUGGESTION: N/A]</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r>
        <w:br/>
      </w:r>
      <w:r>
        <w:rPr>
          <w:b/>
          <w:i/>
          <w:color w:val="DC143C"/>
          <w:sz w:val="18"/>
          <w:highlight w:val="yellow"/>
        </w:rPr>
        <w:t>[ADGM REVIEW: ISSUE: The waiver of defenses to the enforcement of restrictive covenants is potentially problematic. ADGM courts may not uphold such a broad waiver if the covenants are deemed unreasonable. | CITATION: General principles of contract law regarding enforceability of waivers and restrictive covenants. | SUGGESTION: Remove or modify the waiver clause. Instead, focus on ensuring the restrictive covenants are demonstrably reasonable and necessary to protect the company's legitimate business interests. Provide specific justification for the reasonableness of each covenant.]</w:t>
      </w:r>
    </w:p>
    <w:p w14:paraId="2A154870" w14:textId="48A95CD9" w:rsidR="00975741" w:rsidRDefault="00975741" w:rsidP="003E6989">
      <w:pPr>
        <w:pStyle w:val="ListParagraph"/>
        <w:jc w:val="both"/>
        <w:rPr>
          <w:lang w:eastAsia="ko-KR"/>
        </w:rPr>
      </w:pPr>
      <w:r>
        <w:br/>
      </w:r>
      <w:r>
        <w:rPr>
          <w:b w:val="0"/>
          <w:i/>
          <w:color w:val="DAA520"/>
          <w:sz w:val="18"/>
        </w:rPr>
        <w:t>[ADGM REVIEW: ISSUE: No issues found | CITATION: N/A | SUGGESTION: N/A]</w:t>
      </w: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r>
        <w:br/>
      </w:r>
      <w:r>
        <w:rPr>
          <w:b w:val="0"/>
          <w:i/>
          <w:color w:val="FF8C00"/>
          <w:sz w:val="18"/>
        </w:rPr>
        <w:t>[ADGM REVIEW: ISSUE: The 30-day notice period should be reviewed against ADGM Employment Regulations to ensure it meets the minimum requirements for termination notice. | CITATION: ADGM Employment Regulations, potentially Section 27 regarding termination notice periods. | SUGGESTION: Verify that the 30-day notice period complies with the minimum notice periods stipulated in the ADGM Employment Regulations based on the employee's length of service. If the employee has worked for a longer period, a longer notice period might be required.]</w:t>
      </w: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r>
        <w:br/>
      </w:r>
      <w:r>
        <w:rPr>
          <w:b w:val="0"/>
          <w:i/>
          <w:color w:val="DAA520"/>
          <w:sz w:val="18"/>
        </w:rPr>
        <w:t>[ADGM REVIEW: ISSUE: This clause, allowing the company to require the employee not to attend work during the notice period, is acceptable but should clarify whether the employee will continue to receive full pay during this period (garden leave). | CITATION: ADGM Employment Regulations 2019, regarding notice periods and termination. | SUGGESTION: Clarify that the employee will receive full pay during any period they are required not to attend work during the notice period.]</w:t>
      </w:r>
    </w:p>
    <w:p w14:paraId="2A61365C" w14:textId="77777777" w:rsidR="00CB79A4" w:rsidRDefault="00CB79A4" w:rsidP="007A285B">
      <w:pPr>
        <w:pStyle w:val="ListParagraph"/>
        <w:ind w:left="1080"/>
        <w:jc w:val="both"/>
        <w:rPr>
          <w:lang w:eastAsia="ko-KR"/>
        </w:rPr>
      </w:pPr>
      <w:r>
        <w:br/>
      </w:r>
      <w:r>
        <w:rPr>
          <w:b w:val="0"/>
          <w:i/>
          <w:color w:val="FF8C00"/>
          <w:sz w:val="18"/>
        </w:rPr>
        <w:t>[ADGM REVIEW: ISSUE: This section is too broad. It needs to specify the grounds for immediate termination, ensuring they align with ADGM regulations regarding gross misconduct or other justifiable reasons. | CITATION: ADGM Employment Regulations 2019, regarding termination of employment and permissible grounds for summary dismissal. | SUGGESTION: List the specific grounds for immediate termination that are compliant with ADGM regulations, such as gross misconduct, breach of contract, etc.]</w:t>
      </w: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r>
        <w:br/>
      </w:r>
      <w:r>
        <w:rPr>
          <w:b w:val="0"/>
          <w:i/>
          <w:color w:val="DAA520"/>
          <w:sz w:val="18"/>
        </w:rPr>
        <w:t>[ADGM REVIEW: ISSUE: No issues found | CITATION: ADGM Employment Regulations Section 57(1) | SUGGESTION: N/A]</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r>
        <w:br/>
      </w:r>
      <w:r>
        <w:rPr>
          <w:b w:val="0"/>
          <w:i/>
          <w:color w:val="FF8C00"/>
          <w:sz w:val="18"/>
        </w:rPr>
        <w:t>[ADGM REVIEW: ISSUE: Vague termination clause during probation. 'For cause' needs clear definition within ADGM Employment Regulations. | CITATION: ADGM Employment Regulations, specifically regarding termination and probation periods. | SUGGESTION: Define 'for cause' with specific examples aligned with ADGM regulations. Clarify the length and conditions of the probationary period.]</w:t>
      </w:r>
    </w:p>
    <w:p w14:paraId="01152DAA" w14:textId="77777777" w:rsidR="00173665" w:rsidRDefault="00173665" w:rsidP="00173665">
      <w:pPr>
        <w:pStyle w:val="ListParagraph"/>
        <w:jc w:val="both"/>
        <w:rPr>
          <w:lang w:eastAsia="ko-KR"/>
        </w:rPr>
      </w:pPr>
      <w:r>
        <w:br/>
      </w:r>
      <w:r>
        <w:rPr>
          <w:b w:val="0"/>
          <w:i/>
          <w:color w:val="FF8C00"/>
          <w:sz w:val="18"/>
        </w:rPr>
        <w:t>[ADGM REVIEW: ISSUE: Lacks specifics regarding employee obligations upon termination. Missing details on return of company property, confidentiality, and handover procedures. | CITATION: ADGM Employment Regulations regarding termination procedures and employee responsibilities. | SUGGESTION: Add clauses detailing the employee's obligations upon termination, including the return of company property, maintaining confidentiality, and cooperating with handover procedures.]</w:t>
      </w: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r>
        <w:br/>
      </w:r>
      <w:r>
        <w:rPr>
          <w:b w:val="0"/>
          <w:i/>
          <w:color w:val="FF8C00"/>
          <w:sz w:val="18"/>
        </w:rPr>
        <w:t>[ADGM REVIEW: ISSUE: The clause requiring the employee to cooperate in visa cancellation 'without any claim for payment or reimbursement' may be problematic if the employee has incurred costs related to the visa that the company should rightfully reimburse according to ADGM regulations or company policy. | CITATION: Review ADGM Employment Regulations regarding visa costs and reimbursement upon termination. | SUGGESTION: Review company policy and ADGM regulations to ensure compliance regarding visa cost reimbursement upon termination. Consider rephrasing to allow for reimbursement where legally or contractually required.]</w:t>
      </w:r>
    </w:p>
    <w:p w14:paraId="68F88D75" w14:textId="4CF6019B" w:rsidR="00384C28" w:rsidRDefault="00384C28" w:rsidP="00BE206E">
      <w:pPr>
        <w:pStyle w:val="ListParagraph"/>
        <w:jc w:val="both"/>
        <w:rPr>
          <w:lang w:eastAsia="ko-KR"/>
        </w:rPr>
      </w:pPr>
      <w:r>
        <w:br/>
      </w:r>
      <w:r>
        <w:rPr>
          <w:b w:val="0"/>
          <w:i/>
          <w:color w:val="DAA520"/>
          <w:sz w:val="18"/>
        </w:rPr>
        <w:t>[ADGM REVIEW: ISSUE: No issues found | CITATION: N/A | SUGGESTION: N/A]</w:t>
      </w: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DAA520"/>
          <w:sz w:val="18"/>
        </w:rPr>
        <w:t>[ADGM REVIEW: ISSUE: Overly broad restriction on representing connection with the company. Needs clarification on the scope and duration of this restriction, especially concerning future employment references. | CITATION: ADGM Employment Regulations regarding post-employment restrictions and fair competition. | SUGGESTION: Specify the duration and scope of the restriction. Ensure it does not unduly restrict the employee's future employment prospects. Consider adding a clause about providing references.]</w:t>
      </w:r>
    </w:p>
    <w:p w14:paraId="0EEFAF41" w14:textId="77777777" w:rsidR="001B66EF" w:rsidRDefault="001B66EF" w:rsidP="001B66EF">
      <w:pPr>
        <w:pStyle w:val="ListParagraph"/>
        <w:rPr>
          <w:lang w:eastAsia="ko-KR"/>
        </w:rPr>
      </w:pPr>
      <w:r>
        <w:br/>
      </w:r>
      <w:r>
        <w:rPr>
          <w:b w:val="0"/>
          <w:i/>
          <w:color w:val="FF8C00"/>
          <w:sz w:val="18"/>
        </w:rPr>
        <w:t>[ADGM REVIEW: ISSUE: Payment in lieu of notice requires written consent *after* notice of termination. This clause is compliant if interpreted correctly, but could be clearer to avoid ambiguity. | CITATION: ADGM Employment Regulations, potentially related to termination clauses but not explicitly defined. | SUGGESTION: Rephrase to explicitly state that written consent must be obtained *after* the notice of termination is given.]</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DAA520"/>
          <w:sz w:val="18"/>
        </w:rPr>
        <w:t>[ADGM REVIEW: ISSUE: No issues found | CITATION: ADGM Employment Regulations regarding end of service gratuity. | SUGGESTION: Ensure calculation and payment of end-of-service gratuity comply with ADGM Employment Regulations.]</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DAA520"/>
          <w:sz w:val="18"/>
        </w:rPr>
        <w:t>[ADGM REVIEW: ISSUE: No issues found | CITATION: N/A | SUGGESTION: N/A]</w:t>
      </w:r>
    </w:p>
    <w:p w14:paraId="188E193D" w14:textId="77777777" w:rsidR="00803E2B" w:rsidRDefault="00803E2B" w:rsidP="00803E2B">
      <w:pPr>
        <w:pStyle w:val="ListParagraph"/>
        <w:rPr>
          <w:lang w:eastAsia="ko-KR"/>
        </w:rPr>
      </w:pPr>
      <w:r>
        <w:br/>
      </w:r>
      <w:r>
        <w:rPr>
          <w:b w:val="0"/>
          <w:i/>
          <w:color w:val="FF8C00"/>
          <w:sz w:val="18"/>
        </w:rPr>
        <w:t>[ADGM REVIEW: ISSUE: This clause is only applicable to UAE or GCC nationals. Ensure this is applied correctly and does not discriminate against other nationalities regarding retirement benefits. ADGM Employment Regulations apply to all employees regardless of nationality. | CITATION: ADGM Employment Regulations regarding equal treatment and benefits. | SUGGESTION: Consider providing equivalent retirement benefits for non-UAE/GCC nationals to avoid potential discrimination claims. Clarify the company's policy on retirement benefits for all employees.]</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r>
        <w:br/>
      </w:r>
      <w:r>
        <w:rPr>
          <w:b w:val="0"/>
          <w:i/>
          <w:color w:val="DAA520"/>
          <w:sz w:val="18"/>
        </w:rPr>
        <w:t>[ADGM REVIEW: ISSUE: Repatriation flight is a common practice but not explicitly mandated by ADGM Employment Regulations. Ensure this aligns with company policy and is applied consistently. | CITATION: None explicitly, but relates to termination benefits. | SUGGESTION: Document the company's policy on repatriation flights clearly and consistently.]</w:t>
      </w: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r>
        <w:br/>
      </w:r>
      <w:r>
        <w:rPr>
          <w:b/>
          <w:i/>
          <w:color w:val="DC143C"/>
          <w:sz w:val="18"/>
          <w:highlight w:val="yellow"/>
        </w:rPr>
        <w:t>[ADGM REVIEW: ISSUE: Reference to clause 18.1 without context. The content of clause 18.1 is unknown, making it impossible to assess compliance. | CITATION: N/A - Requires context of clause 18.1 | SUGGESTION: Provide the full text of clause 18.1 for review. Ensure it complies with ADGM Employment Regulations.]</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r>
        <w:br/>
      </w:r>
      <w:r>
        <w:rPr>
          <w:b w:val="0"/>
          <w:i/>
          <w:color w:val="DAA520"/>
          <w:sz w:val="18"/>
        </w:rPr>
        <w:t>[ADGM REVIEW: ISSUE: No issues found | CITATION: ADGM Employment Regulations definition of Remote Employee | SUGGESTION: N/A]</w:t>
      </w:r>
    </w:p>
    <w:p w14:paraId="174184EC" w14:textId="77777777" w:rsidR="000F07C2" w:rsidRDefault="000F07C2" w:rsidP="000F07C2">
      <w:pPr>
        <w:pStyle w:val="ListParagraph"/>
        <w:rPr>
          <w:lang w:eastAsia="ko-KR"/>
        </w:rPr>
      </w:pPr>
      <w:r>
        <w:br/>
      </w:r>
      <w:r>
        <w:rPr>
          <w:b w:val="0"/>
          <w:i/>
          <w:color w:val="DAA520"/>
          <w:sz w:val="18"/>
        </w:rPr>
        <w:t>[ADGM REVIEW: ISSUE: No issues found | CITATION: N/A | SUGGESTION: N/A]</w:t>
      </w: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r>
        <w:br/>
      </w:r>
      <w:r>
        <w:rPr>
          <w:b/>
          <w:i/>
          <w:color w:val="DC143C"/>
          <w:sz w:val="18"/>
          <w:highlight w:val="yellow"/>
        </w:rPr>
        <w:t>[ADGM REVIEW: ISSUE: Refers to clause 16.2(a) without context. The content of clause 16.2(a) is unknown, making it impossible to assess compliance. 'For cause' termination needs to align with ADGM regulations. | CITATION: ADGM Employment Regulations regarding termination for cause. | SUGGESTION: Provide the full text of clause 16.2(a) for review. Ensure the definition of 'for cause' aligns with ADGM regulations and provides fair process for the employee.]</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r>
        <w:br/>
      </w:r>
      <w:r>
        <w:rPr>
          <w:b w:val="0"/>
          <w:i/>
          <w:color w:val="DAA520"/>
          <w:sz w:val="18"/>
        </w:rPr>
        <w:t>[ADGM REVIEW: ISSUE: Notice clause is generally acceptable but should explicitly state the methods for proving delivery of electronic notices (e.g., read receipts). | CITATION: N/A | SUGGESTION: Include a provision requiring confirmation of receipt for electronic notices to ensure proper documentation.]</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r>
        <w:br/>
      </w:r>
      <w:r>
        <w:rPr>
          <w:b w:val="0"/>
          <w:i/>
          <w:color w:val="DAA520"/>
          <w:sz w:val="18"/>
        </w:rPr>
        <w:t>[ADGM REVIEW: ISSUE: No issues found | CITATION: N/A | SUGGESTION: N/A]</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br/>
      </w:r>
      <w:r>
        <w:rPr>
          <w:b w:val="0"/>
          <w:i/>
          <w:color w:val="DAA520"/>
          <w:sz w:val="18"/>
        </w:rPr>
        <w:t>[ADGM REVIEW: ISSUE: The distinction between 'administrative' and other amendments needs clear definition to avoid disputes. The requirement for written notice of administrative changes is good practice. | CITATION: General contract law principles applicable in ADGM. | SUGGESTION: Provide examples of 'administrative' amendments in a separate policy document or within the contract itself.]</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br/>
      </w:r>
      <w:r>
        <w:rPr>
          <w:b w:val="0"/>
          <w:i/>
          <w:color w:val="DAA520"/>
          <w:sz w:val="18"/>
        </w:rPr>
        <w:t>[ADGM REVIEW: ISSUE: No issues found | CITATION: ADGM Courts Regulations. | SUGGESTION: Ensure all legal proceedings are conducted within the ADGM courts.]</w:t>
      </w:r>
    </w:p>
    <w:p w14:paraId="28A6C684" w14:textId="77777777" w:rsidR="00154ACF" w:rsidRDefault="00154ACF" w:rsidP="007A285B">
      <w:pPr>
        <w:pStyle w:val="ListParagraph"/>
        <w:jc w:val="both"/>
        <w:rPr>
          <w:lang w:eastAsia="ko-KR"/>
        </w:rPr>
      </w:pPr>
      <w:r>
        <w:br/>
      </w:r>
      <w:r>
        <w:rPr>
          <w:b/>
          <w:i/>
          <w:color w:val="DC143C"/>
          <w:sz w:val="18"/>
          <w:highlight w:val="yellow"/>
        </w:rPr>
        <w:t>[ADGM REVIEW: ISSUE: Simply states 'SCHEDULE A – SUMMARY OF EMPLOYMENT TERMS'. The content of Schedule A is missing, making it impossible to assess compliance. Schedule A should include all mandatory employment terms as per ADGM regulations. | CITATION: ADGM Employment Regulations regarding mandatory employment terms. | SUGGESTION: Provide the full content of Schedule A for review. Ensure it includes all mandatory employment terms as required by ADGM regulations, such as salary, working hours, leave entitlements, etc.]</w:t>
      </w: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r>
        <w:br/>
      </w:r>
      <w:r>
        <w:rPr>
          <w:b/>
          <w:i/>
          <w:color w:val="DC143C"/>
          <w:sz w:val="18"/>
          <w:highlight w:val="yellow"/>
        </w:rPr>
        <w:t>[ADGM REVIEW: ISSUE: Section content is unknown, making compliance assessment impossible. The presence of signatures and a company stamp suggests this section is related to contract execution, which must comply with ADGM regulations regarding employment contracts. | CITATION: ADGM Employment Regulations 2019, Article 6 | SUGGESTION: Provide the content of Section 1 for a full compliance review. Ensure it includes all mandatory clauses as per ADGM regulations.]</w:t>
      </w:r>
    </w:p>
    <w:p w14:paraId="3329BD09" w14:textId="77777777" w:rsidR="00154ACF" w:rsidRDefault="00154ACF" w:rsidP="007A285B">
      <w:pPr>
        <w:pStyle w:val="ListParagraph"/>
        <w:ind w:left="1080"/>
        <w:jc w:val="both"/>
        <w:rPr>
          <w:lang w:eastAsia="ko-KR"/>
        </w:rPr>
      </w:pPr>
      <w:r>
        <w:br/>
      </w:r>
      <w:r>
        <w:rPr>
          <w:b w:val="0"/>
          <w:i/>
          <w:color w:val="FF8C00"/>
          <w:sz w:val="18"/>
        </w:rPr>
        <w:t>[ADGM REVIEW: ISSUE: Table format is unusual and potentially incomplete. Lacks clear labels for the data fields. Missing crucial information such as employee ID, job title, etc. | CITATION: ADGM Employment Regulations regarding record-keeping requirements. | SUGGESTION: Use a standard table format with clear labels for each data field. Include all necessary employee information as required by ADGM regulations.]</w:t>
      </w: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