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015" w:rsidRDefault="00C11015" w:rsidP="00C11015">
      <w:r>
        <w:t>Articles of Association</w:t>
      </w:r>
    </w:p>
    <w:p w:rsidR="00C11015" w:rsidRDefault="00C11015" w:rsidP="00C11015">
      <w:r>
        <w:t>1. Jurisdiction: ADGM Courts</w:t>
      </w:r>
    </w:p>
    <w:p w:rsidR="00995458" w:rsidRPr="00C11015" w:rsidRDefault="00C11015" w:rsidP="00C11015">
      <w:r>
        <w:t>2. Shareholders: John Doe, Jane Doe</w:t>
      </w:r>
    </w:p>
    <w:sectPr w:rsidR="00995458" w:rsidRPr="00C1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15"/>
    <w:rsid w:val="00117C0C"/>
    <w:rsid w:val="00722188"/>
    <w:rsid w:val="008A12B8"/>
    <w:rsid w:val="00995458"/>
    <w:rsid w:val="00B74554"/>
    <w:rsid w:val="00C11015"/>
    <w:rsid w:val="00E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2010-2D48-4052-8F79-9E24CD6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2025-08-10T08:59:00Z</dcterms:created>
  <dcterms:modified xsi:type="dcterms:W3CDTF">2025-08-10T09:00:00Z</dcterms:modified>
</cp:coreProperties>
</file>