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Articles of Association</w:t>
      </w:r>
    </w:p>
    <w:p>
      <w:r>
        <w:t>Clause 1.1: The company shall be incorporated under the laws of ADGM.</w:t>
      </w:r>
    </w:p>
    <w:p>
      <w:r>
        <w:t>Clause 2.3: The registered office of the company shall be located within ADGM jurisdiction.</w:t>
      </w:r>
    </w:p>
    <w:p>
      <w:r>
        <w:t>Clause 3.1: The company shall be subject to the UAE Federal Courts for dispute resolution.</w:t>
      </w:r>
    </w:p>
    <w:p>
      <w:r>
        <w:t>Clause 4.5: Directors shall hold office for a term of three years.</w:t>
      </w:r>
    </w:p>
    <w:p>
      <w:r>
        <w:t>Clause 5.1: This company follows normal governance procedures as outlined in the Memorandum of Association.</w:t>
      </w:r>
    </w:p>
    <w:p>
      <w:r>
        <w:t>Clause 6.7: A register of members shall be maintained and updated regularly.</w:t>
      </w:r>
    </w:p>
    <w:p>
      <w:r>
        <w:t>Clause 7.2: Ultimate Beneficial Owners (UBOs) must disclose ownership interests as per ADGM rules.</w:t>
      </w:r>
    </w:p>
    <w:p>
      <w:r>
        <w:t>Clause 8.9: Board resolutions must be documented and approved in accordance with company policy.</w:t>
      </w:r>
    </w:p>
    <w:p>
      <w:r>
        <w:t>Clause 9.4: Shareholders are entitled to receive timely notices of annual general meetings.</w:t>
      </w:r>
    </w:p>
    <w:p>
      <w:r>
        <w:t>Clause 10.3: The company shall comply with all regulatory requirements stipulated by the ADGM Authority.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