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Clause 1.1: The name of the company shall be Example Holdings Limited.</w:t>
      </w:r>
    </w:p>
    <w:p>
      <w:r>
        <w:t>Clause 2.1: The registered office of the company shall be situated within the Abu Dhabi Global Market (ADGM).</w:t>
      </w:r>
    </w:p>
    <w:p>
      <w:r>
        <w:t>Clause 3.1: The primary objective of the company is to engage in technology consulting and related services.</w:t>
      </w:r>
    </w:p>
    <w:p>
      <w:r>
        <w:t>Clause 4.2: The liability of the members is limited to the amount unpaid on their shares.</w:t>
      </w:r>
    </w:p>
    <w:p>
      <w:r>
        <w:t>Clause 5.3: The share capital of the company shall be AED 500,000 divided into 500 shares of AED 1,000 each.</w:t>
      </w:r>
    </w:p>
    <w:p>
      <w:r>
        <w:t>Clause 6.4: The company shall comply with all statutory requirements under ADGM Companies Regulations 2020.</w:t>
      </w:r>
    </w:p>
    <w:p>
      <w:r>
        <w:t>Clause 7.1: In the event of a dispute, the company shall be subject to the jurisdiction of the UAE Federal Courts.</w:t>
      </w:r>
    </w:p>
    <w:p>
      <w:r>
        <w:t>Clause 8.2: No member shall transfer shares without the prior written consent of the Board of Directors.</w:t>
      </w:r>
    </w:p>
    <w:p>
      <w:r>
        <w:t>Clause 9.5: The company shall maintain accurate records of members, directors, and financial accounts.</w:t>
      </w:r>
    </w:p>
    <w:p>
      <w:r>
        <w:t>Clause 10.6: Any amendments to this Memorandum must be approved by a special resolution of the shareholders.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