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Register of Members and Directors</w:t>
      </w:r>
    </w:p>
    <w:p>
      <w:r>
        <w:t>Member: Sarah Johnson — Shareholder since 2020 — 60% Ownership.</w:t>
      </w:r>
    </w:p>
    <w:p>
      <w:r>
        <w:t>Member: Michael Brown — Shareholder since 2020 — 40% Ownership.</w:t>
      </w:r>
    </w:p>
    <w:p>
      <w:r>
        <w:t>Director: Sarah Johnson — Appointed 2020.</w:t>
      </w:r>
    </w:p>
    <w:p>
      <w:r>
        <w:t>Director: Michael Brown — Appointed 2020.</w:t>
      </w:r>
    </w:p>
    <w:p>
      <w:r>
        <w:t>Jurisdiction clause: All company matters shall be subject to UAE Federal Courts.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